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Update of Activity for First Half – Joe Deffner</w:t>
      </w:r>
    </w:p>
    <w:p>
      <w:pPr>
        <w:pStyle w:val="Normal"/>
        <w:rPr/>
      </w:pPr>
      <w:r>
        <w:rPr/>
      </w:r>
    </w:p>
    <w:p>
      <w:pPr>
        <w:pStyle w:val="Normal"/>
        <w:rPr/>
      </w:pPr>
      <w:r>
        <w:rPr/>
        <w:t>I currently have overall responsibility for maintaining the integrity of the Balance Sheet for Enron Americas in coordination with Enron Corp’s objectives with regards to preserving and improving Enron’s overall credit profile and rating.</w:t>
      </w:r>
    </w:p>
    <w:p>
      <w:pPr>
        <w:pStyle w:val="Normal"/>
        <w:rPr/>
      </w:pPr>
      <w:r>
        <w:rPr/>
      </w:r>
    </w:p>
    <w:p>
      <w:pPr>
        <w:pStyle w:val="Normal"/>
        <w:rPr/>
      </w:pPr>
      <w:r>
        <w:rPr/>
        <w:t>A large part of that responsibility takes the form of educating internal personnel on the concepts of “Velocity of Capital” and “Return On Invested Capital.” Additionally, it manifests itself in the process of not only how to “do” a deal, but how to do it right to optimize Enron’s equity return with the maximum amount of balance sheet leverage.</w:t>
      </w:r>
    </w:p>
    <w:p>
      <w:pPr>
        <w:pStyle w:val="Normal"/>
        <w:rPr/>
      </w:pPr>
      <w:r>
        <w:rPr/>
      </w:r>
    </w:p>
    <w:p>
      <w:pPr>
        <w:pStyle w:val="Normal"/>
        <w:rPr/>
      </w:pPr>
      <w:r>
        <w:rPr/>
        <w:t>In addition to managing, structuring, and moving dealflow off the balance sheet and off credit, another primary responsibility I have is reporting the “right amount” of funds flow and cash flow from operations.</w:t>
      </w:r>
    </w:p>
    <w:p>
      <w:pPr>
        <w:pStyle w:val="Normal"/>
        <w:rPr/>
      </w:pPr>
      <w:r>
        <w:rPr/>
      </w:r>
    </w:p>
    <w:p>
      <w:pPr>
        <w:pStyle w:val="Normal"/>
        <w:rPr/>
      </w:pPr>
      <w:r>
        <w:rPr/>
        <w:t>While my primary obligation is to manage Enron America’s balance sheet and cash flow statement, I also tend to be involved in some form or fashion in many transactions outside of my business unit for the benefit of Enron Corp. Examples of these include the determination of the “best” source of liquidity to fund Elektro’s working capital needs brought on by the rationing in Brazil.</w:t>
      </w:r>
    </w:p>
    <w:p>
      <w:pPr>
        <w:pStyle w:val="Normal"/>
        <w:rPr/>
      </w:pPr>
      <w:r>
        <w:rPr/>
      </w:r>
    </w:p>
    <w:p>
      <w:pPr>
        <w:pStyle w:val="Normal"/>
        <w:rPr/>
      </w:pPr>
      <w:r>
        <w:rPr/>
        <w:t>The following are highlights of activities year to date.</w:t>
      </w:r>
    </w:p>
    <w:p>
      <w:pPr>
        <w:pStyle w:val="Normal"/>
        <w:rPr/>
      </w:pPr>
      <w:r>
        <w:rPr/>
      </w:r>
    </w:p>
    <w:p>
      <w:pPr>
        <w:pStyle w:val="Normal"/>
        <w:numPr>
          <w:ilvl w:val="0"/>
          <w:numId w:val="1"/>
        </w:numPr>
        <w:rPr/>
      </w:pPr>
      <w:r>
        <w:rPr>
          <w:b/>
          <w:bCs/>
        </w:rPr>
        <w:t>Closing and funding of Islamic financing</w:t>
      </w:r>
      <w:r>
        <w:rPr/>
        <w:t>. $100mm financing for Enron Metals group closed with Al Rajhi. Structured as a rolling six month transaction with an expected final maturity of three years. Pricing of LIBOR+20 bps. Comparative Enron Corp pricing is LIBOR+50 for six month credit and LIBOR+92 for three year credit. Incremental benefit of $300,000/$720,000 per annum depending on comparable used. This transaction opens new sources of liquidity and credit capacity for Enron that is absolutely untapped. Anticipate an additional $100mm tranche prior to year end.</w:t>
      </w:r>
    </w:p>
    <w:p>
      <w:pPr>
        <w:pStyle w:val="Normal"/>
        <w:rPr/>
      </w:pPr>
      <w:r>
        <w:rPr/>
      </w:r>
    </w:p>
    <w:p>
      <w:pPr>
        <w:pStyle w:val="Normal"/>
        <w:numPr>
          <w:ilvl w:val="0"/>
          <w:numId w:val="1"/>
        </w:numPr>
        <w:rPr/>
      </w:pPr>
      <w:r>
        <w:rPr>
          <w:b/>
          <w:bCs/>
        </w:rPr>
        <w:t>Funds Flow for Quarter End of $500mm</w:t>
      </w:r>
      <w:r>
        <w:rPr/>
        <w:t>. Executed a $250mm commodity prepay prior to quarter end. Additionally, moved $250mm of merchant assets off balance sheet to generate additional funds flow for the reporting period.</w:t>
      </w:r>
    </w:p>
    <w:p>
      <w:pPr>
        <w:pStyle w:val="Normal"/>
        <w:rPr/>
      </w:pPr>
      <w:r>
        <w:rPr/>
      </w:r>
    </w:p>
    <w:p>
      <w:pPr>
        <w:pStyle w:val="Normal"/>
        <w:numPr>
          <w:ilvl w:val="0"/>
          <w:numId w:val="1"/>
        </w:numPr>
        <w:rPr/>
      </w:pPr>
      <w:r>
        <w:rPr>
          <w:b/>
          <w:bCs/>
        </w:rPr>
        <w:t>Unwind of HPL Financings</w:t>
      </w:r>
      <w:r>
        <w:rPr/>
        <w:t>.</w:t>
      </w:r>
      <w:r>
        <w:rPr>
          <w:b/>
          <w:bCs/>
        </w:rPr>
        <w:t xml:space="preserve"> </w:t>
      </w:r>
      <w:r>
        <w:rPr/>
        <w:t>Restructured Looper and Mid Texas private placements that avoided a make-whole obligation on Enron’s part of $23mm. Also managed to restructure the Bammel Gas monetization with existing bank group such that, although no net cash changed hands, Enron reported an additional $140mm of funds flow.</w:t>
      </w:r>
    </w:p>
    <w:p>
      <w:pPr>
        <w:pStyle w:val="Normal"/>
        <w:rPr/>
      </w:pPr>
      <w:r>
        <w:rPr/>
      </w:r>
    </w:p>
    <w:p>
      <w:pPr>
        <w:pStyle w:val="Normal"/>
        <w:numPr>
          <w:ilvl w:val="0"/>
          <w:numId w:val="1"/>
        </w:numPr>
        <w:rPr/>
      </w:pPr>
      <w:r>
        <w:rPr>
          <w:b/>
          <w:bCs/>
        </w:rPr>
        <w:t>Electrobol</w:t>
      </w:r>
      <w:r>
        <w:rPr/>
        <w:t>t. Arranged $190mm OPIC covered non-recourse project financing for the Electrobolt project. Financing received board and credit committee approvals. Additionally, working on structure to finance remaining equity ownership of $100mm off credit.</w:t>
      </w:r>
    </w:p>
    <w:p>
      <w:pPr>
        <w:pStyle w:val="Normal"/>
        <w:rPr/>
      </w:pPr>
      <w:r>
        <w:rPr/>
      </w:r>
    </w:p>
    <w:p>
      <w:pPr>
        <w:pStyle w:val="Normal"/>
        <w:numPr>
          <w:ilvl w:val="0"/>
          <w:numId w:val="1"/>
        </w:numPr>
        <w:rPr/>
      </w:pPr>
      <w:r>
        <w:rPr>
          <w:b/>
          <w:bCs/>
        </w:rPr>
        <w:t>Brazos</w:t>
      </w:r>
      <w:r>
        <w:rPr/>
        <w:t>. Syndicated Brazos facility of $190mm. Expecting potential secondary commitment from Citibank, Chase and Hypo Vereinsbank as the existing facility gets utilized.</w:t>
      </w:r>
    </w:p>
    <w:p>
      <w:pPr>
        <w:pStyle w:val="Normal"/>
        <w:rPr/>
      </w:pPr>
      <w:r>
        <w:rPr/>
      </w:r>
    </w:p>
    <w:p>
      <w:pPr>
        <w:pStyle w:val="Normal"/>
        <w:numPr>
          <w:ilvl w:val="0"/>
          <w:numId w:val="1"/>
        </w:numPr>
        <w:rPr/>
      </w:pPr>
      <w:r>
        <w:rPr>
          <w:b/>
          <w:bCs/>
        </w:rPr>
        <w:t>KCS VPP Syndicated</w:t>
      </w:r>
      <w:r>
        <w:rPr/>
        <w:t>. Sold KCS to bank market prior to end of Q2. Profit in transaction approximately $9mm. Evaluating potential credit wraps to squeeze additional value out in Q3.</w:t>
      </w:r>
    </w:p>
    <w:p>
      <w:pPr>
        <w:pStyle w:val="Normal"/>
        <w:rPr/>
      </w:pPr>
      <w:r>
        <w:rPr/>
      </w:r>
    </w:p>
    <w:p>
      <w:pPr>
        <w:pStyle w:val="Normal"/>
        <w:numPr>
          <w:ilvl w:val="0"/>
          <w:numId w:val="1"/>
        </w:numPr>
        <w:rPr/>
      </w:pPr>
      <w:r>
        <w:rPr>
          <w:b/>
          <w:bCs/>
        </w:rPr>
        <w:t>Financed Power Project Developments Off Balance Sheet While Providing Future Financing Optionality.</w:t>
      </w:r>
      <w:r>
        <w:rPr/>
        <w:t xml:space="preserve"> Have moved $289mm of funded assets in/out of E-Next in first half of the year. Had projects proceeded to construction, notional value of projects maintained off balance sheet approximates $1.42 billion. Include sale of equipment to Intergen (Jan 18); Purchase (Jan 19) and Sale (April 11) of Fountain Valley; Sale of Pastoria turbines (April 11); Sale of LM’s to Delta (May 2). Currently hold Las Vegas Cogen II equipment and Blue Dog turbines. Contemplate Longview and Ft Pierce moving into facility next.</w:t>
      </w:r>
    </w:p>
    <w:p>
      <w:pPr>
        <w:pStyle w:val="Normal"/>
        <w:rPr/>
      </w:pPr>
      <w:r>
        <w:rPr/>
      </w:r>
    </w:p>
    <w:p>
      <w:pPr>
        <w:pStyle w:val="Normal"/>
        <w:numPr>
          <w:ilvl w:val="0"/>
          <w:numId w:val="1"/>
        </w:numPr>
        <w:rPr/>
      </w:pPr>
      <w:r>
        <w:rPr>
          <w:b/>
          <w:bCs/>
        </w:rPr>
        <w:t>EGM Inventory Monetization</w:t>
      </w:r>
      <w:r>
        <w:rPr/>
        <w:t>. Have mandated Barclays on structure to off balance sheet finance $250mm of SO2 credits, coal and liquids inventory. Anticipated closing in August.</w:t>
      </w:r>
    </w:p>
    <w:p>
      <w:pPr>
        <w:pStyle w:val="Normal"/>
        <w:rPr/>
      </w:pPr>
      <w:r>
        <w:rPr/>
      </w:r>
    </w:p>
    <w:p>
      <w:pPr>
        <w:pStyle w:val="Normal"/>
        <w:numPr>
          <w:ilvl w:val="0"/>
          <w:numId w:val="1"/>
        </w:numPr>
        <w:rPr/>
      </w:pPr>
      <w:r>
        <w:rPr>
          <w:b/>
          <w:bCs/>
        </w:rPr>
        <w:t>Project Wimpy</w:t>
      </w:r>
      <w:r>
        <w:rPr/>
        <w:t>. Working on structure to generate up to $1.5 billion of operating cash flow by effectively managing Enron America’s working capital by securitizing receivables. Expect to close in Q3.</w:t>
      </w:r>
    </w:p>
    <w:p>
      <w:pPr>
        <w:pStyle w:val="Normal"/>
        <w:rPr/>
      </w:pPr>
      <w:r>
        <w:rPr/>
      </w:r>
    </w:p>
    <w:p>
      <w:pPr>
        <w:pStyle w:val="Normal"/>
        <w:numPr>
          <w:ilvl w:val="0"/>
          <w:numId w:val="1"/>
        </w:numPr>
        <w:rPr/>
      </w:pPr>
      <w:r>
        <w:rPr>
          <w:b/>
          <w:bCs/>
        </w:rPr>
        <w:t>Price Risk Management Monetization</w:t>
      </w:r>
      <w:r>
        <w:rPr/>
        <w:t>. Working on structure to generate up to $1 billion of funds flow by monetizing PRM asset intending to transfer counterparty credit risk. Expected closing by year end.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2001-07-05T17:22:00Z</dcterms:created>
  <dc:creator>jdeffne</dc:creator>
  <dc:description/>
  <dc:language>en-CA</dc:language>
  <cp:lastModifiedBy>jdeffne</cp:lastModifiedBy>
  <dcterms:modified xsi:type="dcterms:W3CDTF">2001-07-05T18:44:00Z</dcterms:modified>
  <cp:revision>1</cp:revision>
  <dc:subject/>
  <dc:title>Update of Activity for First Half – Joe Deffner</dc:title>
</cp:coreProperties>
</file>