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Keystone Storage Facility</w:t>
      </w:r>
    </w:p>
    <w:p>
      <w:pPr>
        <w:pStyle w:val="Heading2"/>
        <w:ind w:hanging="0" w:start="0"/>
        <w:rPr>
          <w:sz w:val="26"/>
        </w:rPr>
      </w:pPr>
      <w:r>
        <w:rPr>
          <w:sz w:val="26"/>
        </w:rPr>
        <w:t xml:space="preserve">Non-Binding Proposal and Term Sheet to Unocal </w:t>
      </w:r>
    </w:p>
    <w:p>
      <w:pPr>
        <w:pStyle w:val="Heading1"/>
        <w:ind w:hanging="0" w:start="0"/>
        <w:jc w:val="center"/>
        <w:rPr>
          <w:sz w:val="26"/>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by Enron North America Corp.</w:t>
      </w:r>
    </w:p>
    <w:p>
      <w:pPr>
        <w:pStyle w:val="Heading3"/>
        <w:ind w:hanging="0" w:start="0"/>
        <w:rPr>
          <w:sz w:val="26"/>
        </w:rPr>
      </w:pPr>
      <w:r>
        <w:rPr>
          <w:sz w:val="26"/>
        </w:rPr>
      </w:r>
    </w:p>
    <w:p>
      <w:pPr>
        <w:pStyle w:val="Heading7"/>
        <w:ind w:hanging="0" w:start="0"/>
        <w:rPr>
          <w:sz w:val="28"/>
        </w:rPr>
      </w:pPr>
      <w:r>
        <w:rPr>
          <w:sz w:val="28"/>
        </w:rPr>
        <w:t>September 7,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 xml:space="preserve">Enron North America Corp. (“ENA”) is proposing a bundled structured service to satisfy the gas storage, compression, transportation and base gas needs of Unocal at its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Unocal.</w:t>
      </w:r>
    </w:p>
    <w:p>
      <w:pPr>
        <w:pStyle w:val="Normal"/>
        <w:jc w:val="both"/>
        <w:rPr>
          <w:sz w:val="22"/>
        </w:rPr>
      </w:pPr>
      <w:r>
        <w:rPr>
          <w:sz w:val="22"/>
        </w:rPr>
      </w:r>
    </w:p>
    <w:p>
      <w:pPr>
        <w:pStyle w:val="Heading5"/>
        <w:spacing w:before="40" w:after="0"/>
        <w:ind w:hanging="0" w:start="0"/>
        <w:jc w:val="both"/>
        <w:rPr>
          <w:b/>
          <w:bCs/>
          <w:sz w:val="24"/>
        </w:rPr>
      </w:pPr>
      <w:r>
        <w:rPr>
          <w:b/>
          <w:bCs/>
          <w:sz w:val="24"/>
        </w:rPr>
      </w:r>
    </w:p>
    <w:p>
      <w:pPr>
        <w:pStyle w:val="Heading5"/>
        <w:spacing w:before="40" w:after="0"/>
        <w:ind w:hanging="0" w:start="0"/>
        <w:jc w:val="both"/>
        <w:rPr>
          <w:b/>
          <w:bCs/>
          <w:sz w:val="24"/>
        </w:rPr>
      </w:pPr>
      <w:r>
        <w:rPr>
          <w:b/>
          <w:bCs/>
          <w:sz w:val="24"/>
        </w:rPr>
        <w:t>Commercial Terms of the Bundled Service</w:t>
      </w:r>
    </w:p>
    <w:p>
      <w:pPr>
        <w:pStyle w:val="BodyText"/>
        <w:rPr>
          <w:color w:val="FF0000"/>
        </w:rPr>
      </w:pPr>
      <w:r>
        <w:rPr/>
        <w:t xml:space="preserve">This Agreement is intended to set forth certain basic terms to serve as a basis for further discussions and negotiations among the Parties with respect to the bundled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Unocal, in addition to services that Unocal would provide to ENA.  </w:t>
      </w:r>
      <w:r>
        <w:rPr>
          <w:color w:val="0000FF"/>
        </w:rPr>
        <w:t>The pricing in this proposal is contingent upon doing business in Phase II within a reasonable time frame to be confirmed at a later date.</w:t>
      </w:r>
      <w:r>
        <w:rPr/>
        <w:t xml:space="preserve">  In addition to structuring a Compression Services Agreement and a related energy contract for Phase II of Unocal’s storage facility development, ENA would also contract with its affiliate Northern Natural Gas (“NNG”) for the transportation services outlined in this proposal.  </w:t>
      </w:r>
    </w:p>
    <w:p>
      <w:pPr>
        <w:pStyle w:val="Heading5"/>
        <w:spacing w:before="40" w:after="0"/>
        <w:ind w:firstLine="720" w:start="0" w:end="0"/>
        <w:jc w:val="both"/>
        <w:rPr>
          <w:b/>
          <w:bCs/>
          <w:color w:val="FF0000"/>
        </w:rPr>
      </w:pPr>
      <w:r>
        <w:rPr>
          <w:b/>
          <w:bCs/>
          <w:color w:val="FF0000"/>
        </w:rPr>
      </w:r>
    </w:p>
    <w:p>
      <w:pPr>
        <w:pStyle w:val="Heading5"/>
        <w:spacing w:before="40" w:after="60"/>
        <w:ind w:firstLine="720" w:start="0" w:end="0"/>
        <w:jc w:val="both"/>
        <w:rPr>
          <w:b/>
          <w:bCs/>
          <w:sz w:val="24"/>
        </w:rPr>
      </w:pPr>
      <w:r>
        <w:rPr>
          <w:b/>
          <w:bCs/>
          <w:sz w:val="24"/>
        </w:rPr>
        <w:t>Contract Terms</w:t>
      </w:r>
    </w:p>
    <w:p>
      <w:pPr>
        <w:pStyle w:val="Normal"/>
        <w:spacing w:before="0" w:after="40"/>
        <w:ind w:start="720" w:end="0"/>
        <w:rPr/>
      </w:pPr>
      <w:r>
        <w:rPr>
          <w:b/>
          <w:bCs/>
          <w:sz w:val="22"/>
        </w:rPr>
        <w:t>Phases I &amp; II.</w:t>
      </w:r>
      <w:r>
        <w:rPr>
          <w:sz w:val="22"/>
        </w:rPr>
        <w:t xml:space="preserve">  The storage, pipeline, and transportation products and services referenced in this proposal are for a 7-year contract term, assuming a July 1, 2002 start date and a June 30, 2009 end date</w:t>
      </w:r>
      <w:r>
        <w:rPr>
          <w:color w:val="FF0000"/>
          <w:sz w:val="22"/>
        </w:rPr>
        <w:t>.</w:t>
      </w:r>
    </w:p>
    <w:p>
      <w:pPr>
        <w:pStyle w:val="Normal"/>
        <w:spacing w:before="0" w:after="40"/>
        <w:ind w:start="720" w:end="0"/>
        <w:rPr/>
      </w:pPr>
      <w:r>
        <w:rPr>
          <w:b/>
          <w:bCs/>
          <w:sz w:val="22"/>
        </w:rPr>
        <w:t>Phase II.</w:t>
      </w:r>
      <w:r>
        <w:rPr>
          <w:color w:val="FF0000"/>
          <w:sz w:val="22"/>
        </w:rPr>
        <w:t xml:space="preserve">  </w:t>
      </w:r>
      <w:r>
        <w:rPr>
          <w:sz w:val="22"/>
        </w:rPr>
        <w:t xml:space="preserve">The duration of the proposed transaction to purchase shaft horsepower from Enron Compression Services (“ECS”) is 5.5-years, beginning January 1, 2004 and ending June 30, 2009.    </w:t>
      </w:r>
    </w:p>
    <w:p>
      <w:pPr>
        <w:pStyle w:val="Normal"/>
        <w:spacing w:before="0" w:after="40"/>
        <w:ind w:start="720" w:end="0"/>
        <w:rPr>
          <w:b/>
          <w:bCs/>
          <w:sz w:val="22"/>
        </w:rPr>
      </w:pPr>
      <w:r>
        <w:rPr>
          <w:b/>
          <w:bCs/>
          <w:sz w:val="22"/>
        </w:rPr>
        <w:t xml:space="preserve">Other.  </w:t>
      </w:r>
      <w:r>
        <w:rPr>
          <w:sz w:val="22"/>
        </w:rPr>
        <w:t xml:space="preserve">The base gas loan referenced in this proposal is for a 20-month term, assuming a start date of June 1, 2002 and an end date of January 31, 2004.    </w:t>
      </w:r>
    </w:p>
    <w:p>
      <w:pPr>
        <w:pStyle w:val="Normal"/>
        <w:jc w:val="both"/>
        <w:rPr>
          <w:b/>
          <w:bCs/>
          <w:sz w:val="22"/>
        </w:rPr>
      </w:pPr>
      <w:r>
        <w:rPr>
          <w:b/>
          <w:bCs/>
          <w:sz w:val="22"/>
        </w:rPr>
      </w:r>
    </w:p>
    <w:p>
      <w:pPr>
        <w:pStyle w:val="Heading5"/>
        <w:spacing w:before="40" w:after="60"/>
        <w:ind w:firstLine="720" w:start="0" w:end="0"/>
        <w:jc w:val="both"/>
        <w:rPr>
          <w:b/>
          <w:bCs/>
          <w:sz w:val="24"/>
        </w:rPr>
      </w:pPr>
      <w:r>
        <w:rPr>
          <w:b/>
          <w:bCs/>
          <w:sz w:val="24"/>
        </w:rPr>
        <w:t>Storage Capacity, Pipeline and Interconnect</w:t>
      </w:r>
    </w:p>
    <w:p>
      <w:pPr>
        <w:pStyle w:val="BodyTextIndent3"/>
        <w:spacing w:before="40" w:after="60"/>
        <w:rPr/>
      </w:pPr>
      <w:r>
        <w:rPr>
          <w:b/>
          <w:bCs/>
        </w:rPr>
        <w:t>Phase I.</w:t>
      </w:r>
      <w:r>
        <w:rPr/>
        <w:t xml:space="preserve">  ENA would purchase 1.5 BCF of firm storage capacity from Unocal at its Keystone gas storage facility.  In exchange for this storage capacity, ENA would pay Unocal a Storage Capacity Fee of </w:t>
      </w:r>
      <w:r>
        <w:rPr>
          <w:color w:val="0000FF"/>
        </w:rPr>
        <w:t>$1.65</w:t>
      </w:r>
      <w:r>
        <w:rPr/>
        <w:t xml:space="preserve"> per MMBtu, per year.  The aforementioned rate of </w:t>
      </w:r>
      <w:r>
        <w:rPr>
          <w:color w:val="0000FF"/>
        </w:rPr>
        <w:t>$1.65</w:t>
      </w:r>
      <w:r>
        <w:rPr/>
        <w:t xml:space="preserve"> per MMBtu assumes that Unocal does not expend any capital for the pipeline and interconnect from the Keystone storage facility to the NNG mainline.  ENA would arrange for the funding and construction of the pipeline and associated interconnect from the Keystone storage facility to the NNG mainline</w:t>
      </w:r>
      <w:r>
        <w:rPr>
          <w:color w:val="0000FF"/>
        </w:rPr>
        <w:t>.  Upon completion of construction, the pipeline and interconnect would be contributed to Unocal for their ownership and maintenance.</w:t>
      </w:r>
      <w:r>
        <w:rPr>
          <w:color w:val="FF0000"/>
        </w:rPr>
        <w:t xml:space="preserve">  </w:t>
      </w:r>
      <w:r>
        <w:rPr/>
        <w:t>Refer to Exhibit I.</w:t>
      </w:r>
    </w:p>
    <w:p>
      <w:pPr>
        <w:pStyle w:val="BodyTextIndent3"/>
        <w:spacing w:before="40" w:after="60"/>
        <w:rPr/>
      </w:pPr>
      <w:r>
        <w:rPr>
          <w:b/>
          <w:bCs/>
        </w:rPr>
        <w:t>Phase II.</w:t>
      </w:r>
      <w:r>
        <w:rPr/>
        <w:t xml:space="preserve">  ENA would purchase 1.5 BCF of firm storage capacity from Unocal at its Keystone gas storage facility.  In exchange for this storage capacity, ENA would pay Unocal a Storage Capacity Fee of </w:t>
      </w:r>
      <w:r>
        <w:rPr>
          <w:color w:val="0000FF"/>
        </w:rPr>
        <w:t>$1.05</w:t>
      </w:r>
      <w:r>
        <w:rPr/>
        <w:t xml:space="preserve"> per MMBtu, per year.  </w:t>
      </w:r>
    </w:p>
    <w:p>
      <w:pPr>
        <w:pStyle w:val="Normal"/>
        <w:jc w:val="both"/>
        <w:rPr>
          <w:sz w:val="22"/>
        </w:rPr>
      </w:pPr>
      <w:r>
        <w:rPr>
          <w:sz w:val="22"/>
        </w:rPr>
      </w:r>
    </w:p>
    <w:p>
      <w:pPr>
        <w:pStyle w:val="Heading5"/>
        <w:spacing w:before="40" w:after="120"/>
        <w:ind w:firstLine="720" w:start="0" w:end="0"/>
        <w:jc w:val="both"/>
        <w:rPr>
          <w:b/>
          <w:bCs/>
          <w:sz w:val="24"/>
        </w:rPr>
      </w:pPr>
      <w:r>
        <w:rPr>
          <w:b/>
          <w:bCs/>
          <w:sz w:val="24"/>
        </w:rPr>
        <w:t>Storage Terms of Service</w:t>
      </w:r>
    </w:p>
    <w:p>
      <w:pPr>
        <w:pStyle w:val="Normal"/>
        <w:spacing w:before="40" w:after="120"/>
        <w:ind w:start="720" w:end="0"/>
        <w:jc w:val="both"/>
        <w:rPr/>
      </w:pPr>
      <w:r>
        <w:rPr>
          <w:b/>
          <w:bCs/>
          <w:sz w:val="22"/>
        </w:rPr>
        <w:t>Phase I.</w:t>
      </w:r>
      <w:r>
        <w:rPr>
          <w:sz w:val="22"/>
        </w:rPr>
        <w:t xml:space="preserve">  Unocal would provide ENA firm access to injection rights of 50 MMcf/day and withdrawal rights of 100 MMcf/day.  </w:t>
      </w:r>
    </w:p>
    <w:p>
      <w:pPr>
        <w:pStyle w:val="Normal"/>
        <w:spacing w:before="40" w:after="120"/>
        <w:ind w:start="720" w:end="0"/>
        <w:jc w:val="both"/>
        <w:rPr/>
      </w:pPr>
      <w:r>
        <w:rPr>
          <w:b/>
          <w:bCs/>
          <w:sz w:val="22"/>
        </w:rPr>
        <w:t>Phase II.</w:t>
      </w:r>
      <w:r>
        <w:rPr>
          <w:sz w:val="22"/>
        </w:rPr>
        <w:t xml:space="preserve">  Unocal would provide ENA firm access to injection rights of 75 MMcf/day and withdrawal rights of 150 MMcf/day.  </w:t>
      </w:r>
    </w:p>
    <w:p>
      <w:pPr>
        <w:pStyle w:val="Normal"/>
        <w:ind w:start="720" w:end="0"/>
        <w:jc w:val="both"/>
        <w:rPr/>
      </w:pPr>
      <w:r>
        <w:rPr>
          <w:sz w:val="22"/>
        </w:rPr>
        <w:t>Unocal would provide ENA the option to obtain greater access to the storage facility on an interruptible basis at a price to be negotiated at a later date.  Unocal would deliver the storage capacity to ENA referenced above and also noted in</w:t>
      </w:r>
      <w:r>
        <w:rPr>
          <w:b/>
          <w:bCs/>
          <w:sz w:val="22"/>
        </w:rPr>
        <w:t xml:space="preserve"> </w:t>
      </w:r>
      <w:r>
        <w:rPr>
          <w:sz w:val="22"/>
        </w:rPr>
        <w:t xml:space="preserve">Exhibit I.  </w:t>
      </w:r>
    </w:p>
    <w:p>
      <w:pPr>
        <w:pStyle w:val="Normal"/>
        <w:ind w:start="720" w:end="0"/>
        <w:jc w:val="both"/>
        <w:rPr>
          <w:sz w:val="22"/>
        </w:rPr>
      </w:pPr>
      <w:r>
        <w:rPr>
          <w:sz w:val="22"/>
        </w:rPr>
      </w:r>
    </w:p>
    <w:p>
      <w:pPr>
        <w:pStyle w:val="Normal"/>
        <w:ind w:start="720" w:end="0"/>
        <w:jc w:val="both"/>
        <w:rPr>
          <w:sz w:val="22"/>
        </w:rPr>
      </w:pPr>
      <w:r>
        <w:rPr>
          <w:sz w:val="22"/>
        </w:rPr>
        <w:t>In addition, Unocal would provide ENA with liquidated damages for operational non-performance excluding force majeure</w:t>
      </w:r>
      <w:r>
        <w:rPr>
          <w:b/>
          <w:bCs/>
          <w:sz w:val="22"/>
        </w:rPr>
        <w:t xml:space="preserve">.  </w:t>
      </w:r>
      <w:r>
        <w:rPr>
          <w:sz w:val="22"/>
        </w:rPr>
        <w:t xml:space="preserve">In the event of a receipt point supply shortfall, the following compensation provision would apply:  Unocal, who would be responsible for the supply shortfall that would trigger the temporary supply interruption, would compensate ENA accordingly.  The measure of compensation for curtailed gas in a temporary supply interruption would be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Heading6"/>
        <w:spacing w:before="120" w:after="60"/>
        <w:ind w:firstLine="720" w:start="0" w:end="0"/>
        <w:rPr>
          <w:b/>
          <w:bCs/>
          <w:sz w:val="24"/>
        </w:rPr>
      </w:pPr>
      <w:r>
        <w:rPr>
          <w:b/>
          <w:bCs/>
          <w:sz w:val="24"/>
        </w:rPr>
        <w:t>Firm Transportation Backhaul</w:t>
      </w:r>
    </w:p>
    <w:p>
      <w:pPr>
        <w:pStyle w:val="BodyText3"/>
        <w:spacing w:before="100" w:after="60"/>
        <w:ind w:start="720" w:end="0"/>
        <w:rPr/>
      </w:pPr>
      <w:r>
        <w:rPr>
          <w:b/>
          <w:bCs/>
        </w:rPr>
        <w:t>Phase I.</w:t>
      </w:r>
      <w:r>
        <w:rPr/>
        <w:t xml:space="preserve">  ENA would provide a Firm Transportation Service (“FT”) on NNG Pipeline to Unocal from the Keystone storage facility to the Waha commodity-trading hub in Waha, Texas for a term of 7 years beginning July 1, 2002.  The volumetric gas for the FT would be 100,000 MMBtu per day including full secondary rights within the path.  </w:t>
      </w:r>
    </w:p>
    <w:p>
      <w:pPr>
        <w:pStyle w:val="BodyText3"/>
        <w:spacing w:before="0" w:after="40"/>
        <w:ind w:start="720" w:end="0"/>
        <w:rPr>
          <w:color w:val="0000FF"/>
        </w:rPr>
      </w:pPr>
      <w:r>
        <w:rPr>
          <w:color w:val="0000FF"/>
        </w:rPr>
        <w:t>The primary receipt point would be the new Unocal Keystone-NNG Interconnect.  The primary delivery points are listed as follows:</w:t>
      </w:r>
    </w:p>
    <w:p>
      <w:pPr>
        <w:pStyle w:val="BodyText3"/>
        <w:spacing w:before="0" w:after="20"/>
        <w:ind w:start="720" w:end="0"/>
        <w:rPr>
          <w:color w:val="0000FF"/>
        </w:rPr>
      </w:pPr>
      <w:r>
        <w:rPr>
          <w:color w:val="0000FF"/>
        </w:rPr>
        <w:tab/>
        <w:t xml:space="preserve"> 50,000 MMBtu/d Oasis Waha</w:t>
      </w:r>
    </w:p>
    <w:p>
      <w:pPr>
        <w:pStyle w:val="BodyText3"/>
        <w:spacing w:before="0" w:after="20"/>
        <w:ind w:start="720" w:end="0"/>
        <w:rPr>
          <w:color w:val="0000FF"/>
        </w:rPr>
      </w:pPr>
      <w:r>
        <w:rPr>
          <w:color w:val="0000FF"/>
        </w:rPr>
        <w:tab/>
        <w:t xml:space="preserve"> 25,000 MMBtu/d Norval</w:t>
      </w:r>
    </w:p>
    <w:p>
      <w:pPr>
        <w:pStyle w:val="BodyText3"/>
        <w:spacing w:before="0" w:after="20"/>
        <w:ind w:start="720" w:end="0"/>
        <w:rPr>
          <w:color w:val="0000FF"/>
        </w:rPr>
      </w:pPr>
      <w:r>
        <w:rPr>
          <w:color w:val="0000FF"/>
        </w:rPr>
        <w:tab/>
        <w:t xml:space="preserve"> 12,500 MMBtu/d Valero Spraberry</w:t>
      </w:r>
    </w:p>
    <w:p>
      <w:pPr>
        <w:pStyle w:val="BodyText3"/>
        <w:spacing w:before="0" w:after="20"/>
        <w:ind w:start="720" w:end="0"/>
        <w:rPr/>
      </w:pPr>
      <w:r>
        <w:rPr>
          <w:color w:val="0000FF"/>
        </w:rPr>
        <w:tab/>
      </w:r>
      <w:r>
        <w:rPr>
          <w:color w:val="0000FF"/>
          <w:u w:val="single"/>
        </w:rPr>
        <w:t xml:space="preserve"> 12,500 MMBtu/d Lone Star Spraberry  </w:t>
      </w:r>
    </w:p>
    <w:p>
      <w:pPr>
        <w:pStyle w:val="BodyText3"/>
        <w:ind w:start="720" w:end="0"/>
        <w:rPr>
          <w:color w:val="0000FF"/>
        </w:rPr>
      </w:pPr>
      <w:r>
        <w:rPr>
          <w:color w:val="0000FF"/>
        </w:rPr>
        <w:tab/>
        <w:t>100,000 Total MMBtu/d</w:t>
      </w:r>
    </w:p>
    <w:p>
      <w:pPr>
        <w:pStyle w:val="BodyText3"/>
        <w:ind w:start="720" w:end="0"/>
        <w:rPr>
          <w:color w:val="0000FF"/>
        </w:rPr>
      </w:pPr>
      <w:r>
        <w:rPr>
          <w:color w:val="0000FF"/>
        </w:rPr>
      </w:r>
    </w:p>
    <w:p>
      <w:pPr>
        <w:pStyle w:val="BodyText3"/>
        <w:ind w:start="720" w:end="0"/>
        <w:rPr>
          <w:color w:val="0000FF"/>
        </w:rPr>
      </w:pPr>
      <w:r>
        <w:rPr>
          <w:color w:val="0000FF"/>
        </w:rPr>
        <w:t>The alternate points with secondary rights include El Paso Waha, TW Haley, Coronado Pecos, Westar Reeves, TW Ward and El Paso Keystone.</w:t>
      </w:r>
    </w:p>
    <w:p>
      <w:pPr>
        <w:pStyle w:val="BodyText3"/>
        <w:spacing w:before="100" w:after="80"/>
        <w:ind w:start="720" w:end="0"/>
        <w:rPr>
          <w:b/>
          <w:bCs/>
          <w:color w:val="0000FF"/>
        </w:rPr>
      </w:pPr>
      <w:r>
        <w:rPr>
          <w:b/>
          <w:bCs/>
          <w:color w:val="0000FF"/>
        </w:rPr>
      </w:r>
    </w:p>
    <w:p>
      <w:pPr>
        <w:pStyle w:val="BodyText3"/>
        <w:spacing w:before="100" w:after="80"/>
        <w:ind w:start="720" w:end="0"/>
        <w:rPr/>
      </w:pPr>
      <w:r>
        <w:rPr>
          <w:b/>
          <w:bCs/>
        </w:rPr>
        <w:t>Phase II.</w:t>
      </w:r>
      <w:r>
        <w:rPr/>
        <w:t xml:space="preserve">  ENA would provide a Firm Transportation Service (“FT”) on NNG Pipeline to Unocal from the Keystone storage facility to the Waha commodity-trading hub in Waha, Texas for a term of 5.5 years beginning January 1, 2004.  The volumetric gas for the FT would be 50,000 MMBtu per day including full secondary rights within the path.  </w:t>
      </w:r>
    </w:p>
    <w:p>
      <w:pPr>
        <w:pStyle w:val="BodyText3"/>
        <w:spacing w:before="0" w:after="40"/>
        <w:ind w:start="720" w:end="0"/>
        <w:rPr>
          <w:color w:val="0000FF"/>
        </w:rPr>
      </w:pPr>
      <w:r>
        <w:rPr>
          <w:color w:val="0000FF"/>
        </w:rPr>
      </w:r>
    </w:p>
    <w:p>
      <w:pPr>
        <w:pStyle w:val="BodyText3"/>
        <w:spacing w:before="0" w:after="40"/>
        <w:ind w:start="720" w:end="0"/>
        <w:rPr>
          <w:color w:val="0000FF"/>
        </w:rPr>
      </w:pPr>
      <w:r>
        <w:rPr>
          <w:color w:val="0000FF"/>
        </w:rPr>
      </w:r>
    </w:p>
    <w:p>
      <w:pPr>
        <w:pStyle w:val="BodyText3"/>
        <w:spacing w:before="0" w:after="40"/>
        <w:ind w:start="720" w:end="0"/>
        <w:rPr>
          <w:color w:val="0000FF"/>
        </w:rPr>
      </w:pPr>
      <w:r>
        <w:rPr>
          <w:color w:val="0000FF"/>
        </w:rPr>
        <w:t>The primary receipt point would be the new Unocal Keystone-NNG Interconnect.  The primary delivery points are listed as follows:</w:t>
      </w:r>
    </w:p>
    <w:p>
      <w:pPr>
        <w:pStyle w:val="BodyText3"/>
        <w:spacing w:before="0" w:after="20"/>
        <w:ind w:start="720" w:end="0"/>
        <w:rPr>
          <w:color w:val="0000FF"/>
        </w:rPr>
      </w:pPr>
      <w:r>
        <w:rPr>
          <w:color w:val="0000FF"/>
        </w:rPr>
        <w:tab/>
        <w:t>25,000 MMBtu/d Oasis Waha</w:t>
      </w:r>
    </w:p>
    <w:p>
      <w:pPr>
        <w:pStyle w:val="BodyText3"/>
        <w:spacing w:before="0" w:after="20"/>
        <w:ind w:start="720" w:end="0"/>
        <w:rPr>
          <w:color w:val="0000FF"/>
        </w:rPr>
      </w:pPr>
      <w:r>
        <w:rPr>
          <w:color w:val="0000FF"/>
        </w:rPr>
        <w:tab/>
        <w:t>12,500 MMBtu/d Norval</w:t>
      </w:r>
    </w:p>
    <w:p>
      <w:pPr>
        <w:pStyle w:val="BodyText3"/>
        <w:spacing w:before="0" w:after="20"/>
        <w:ind w:start="720" w:end="0"/>
        <w:rPr>
          <w:color w:val="0000FF"/>
        </w:rPr>
      </w:pPr>
      <w:r>
        <w:rPr>
          <w:color w:val="0000FF"/>
        </w:rPr>
        <w:tab/>
        <w:t xml:space="preserve"> 6,250 MMBtu/d Valero Spraberry</w:t>
      </w:r>
    </w:p>
    <w:p>
      <w:pPr>
        <w:pStyle w:val="BodyText3"/>
        <w:spacing w:before="0" w:after="20"/>
        <w:ind w:start="720" w:end="0"/>
        <w:rPr/>
      </w:pPr>
      <w:r>
        <w:rPr>
          <w:color w:val="0000FF"/>
        </w:rPr>
        <w:tab/>
      </w:r>
      <w:r>
        <w:rPr>
          <w:color w:val="0000FF"/>
          <w:u w:val="single"/>
        </w:rPr>
        <w:t xml:space="preserve"> 6,250 MMBtu/d Lone Star Spraberry  </w:t>
      </w:r>
    </w:p>
    <w:p>
      <w:pPr>
        <w:pStyle w:val="BodyText3"/>
        <w:ind w:start="720" w:end="0"/>
        <w:rPr>
          <w:color w:val="0000FF"/>
        </w:rPr>
      </w:pPr>
      <w:r>
        <w:rPr>
          <w:color w:val="0000FF"/>
        </w:rPr>
        <w:tab/>
        <w:t>50,000 Total MMBtu/d</w:t>
      </w:r>
    </w:p>
    <w:p>
      <w:pPr>
        <w:pStyle w:val="BodyText3"/>
        <w:ind w:start="720" w:end="0"/>
        <w:rPr>
          <w:color w:val="0000FF"/>
        </w:rPr>
      </w:pPr>
      <w:r>
        <w:rPr>
          <w:color w:val="0000FF"/>
        </w:rPr>
      </w:r>
    </w:p>
    <w:p>
      <w:pPr>
        <w:pStyle w:val="BodyText3"/>
        <w:ind w:start="720" w:end="0"/>
        <w:rPr>
          <w:color w:val="0000FF"/>
        </w:rPr>
      </w:pPr>
      <w:r>
        <w:rPr>
          <w:color w:val="0000FF"/>
        </w:rPr>
        <w:t>The alternate points with secondary rights include El Paso Waha, TW Haley, Coronado Pecos, Westar Reeves, TW Ward and El Paso Keystone.</w:t>
      </w:r>
    </w:p>
    <w:p>
      <w:pPr>
        <w:pStyle w:val="BodyText3"/>
        <w:spacing w:before="0" w:after="80"/>
        <w:ind w:start="720" w:end="0"/>
        <w:rPr>
          <w:color w:val="0000FF"/>
        </w:rPr>
      </w:pPr>
      <w:r>
        <w:rPr>
          <w:color w:val="0000FF"/>
        </w:rPr>
      </w:r>
    </w:p>
    <w:p>
      <w:pPr>
        <w:pStyle w:val="BodyText3"/>
        <w:spacing w:before="0" w:after="80"/>
        <w:ind w:start="720" w:end="0"/>
        <w:rPr/>
      </w:pPr>
      <w:r>
        <w:rPr/>
        <w:t>In exchange for the transportation services, Unocal would pay ENA a fixed demand rate per MMBtu, and a variable commodity fee per MMBtu on the volumes transported in accordance with the rates listed below.  In addition, Unocal would pay ENA a fuel charge on the volumes transported.  Refer to Exhibit II.</w:t>
        <w:tab/>
      </w:r>
    </w:p>
    <w:p>
      <w:pPr>
        <w:pStyle w:val="BodyText3"/>
        <w:ind w:start="720" w:end="0"/>
        <w:rPr/>
      </w:pPr>
      <w:r>
        <w:rPr/>
      </w:r>
    </w:p>
    <w:p>
      <w:pPr>
        <w:pStyle w:val="BodyText3"/>
        <w:spacing w:before="0" w:after="40"/>
        <w:rPr/>
      </w:pPr>
      <w:r>
        <w:rPr>
          <w:b/>
          <w:bCs/>
        </w:rPr>
        <w:t xml:space="preserve">                       </w:t>
      </w:r>
      <w:r>
        <w:rPr>
          <w:b/>
          <w:bCs/>
        </w:rPr>
        <w:t>Transportation Rates ($/MMBtu):</w:t>
      </w:r>
      <w:r>
        <w:rPr/>
        <w:tab/>
      </w:r>
    </w:p>
    <w:p>
      <w:pPr>
        <w:pStyle w:val="Normal"/>
        <w:jc w:val="both"/>
        <w:rPr>
          <w:sz w:val="22"/>
        </w:rPr>
      </w:pPr>
      <w:r>
        <w:rPr>
          <w:sz w:val="22"/>
        </w:rPr>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tab/>
      </w:r>
    </w:p>
    <w:p>
      <w:pPr>
        <w:pStyle w:val="BodyText3"/>
        <w:rPr/>
      </w:pPr>
      <w:r>
        <w:rPr/>
      </w:r>
    </w:p>
    <w:p>
      <w:pPr>
        <w:pStyle w:val="Heading5"/>
        <w:spacing w:before="40" w:after="0"/>
        <w:ind w:firstLine="720" w:start="0" w:end="0"/>
        <w:jc w:val="both"/>
        <w:rPr>
          <w:b/>
          <w:bCs/>
          <w:sz w:val="24"/>
        </w:rPr>
      </w:pPr>
      <w:r>
        <w:rPr>
          <w:b/>
          <w:bCs/>
          <w:sz w:val="24"/>
        </w:rPr>
        <w:t xml:space="preserve">Compression Services  </w:t>
      </w:r>
    </w:p>
    <w:p>
      <w:pPr>
        <w:pStyle w:val="Normal"/>
        <w:ind w:start="720" w:end="0"/>
        <w:rPr>
          <w:sz w:val="22"/>
        </w:rPr>
      </w:pPr>
      <w:r>
        <w:rPr>
          <w:sz w:val="22"/>
        </w:rPr>
        <w:t xml:space="preserve">This proposal made by Enron Compression Services Company, a Delaware corporation (“ECS”), for the purpose of evaluating the prospect of Unocal contracting with ECS for compression services utilizing electric motor drivers for Phase II of Unocal’s Keystone storage facility in Kermit, TX.  </w:t>
      </w:r>
    </w:p>
    <w:p>
      <w:pPr>
        <w:pStyle w:val="Normal"/>
        <w:ind w:start="720" w:end="0"/>
        <w:rPr>
          <w:sz w:val="22"/>
        </w:rPr>
      </w:pPr>
      <w:r>
        <w:rPr>
          <w:sz w:val="22"/>
        </w:rPr>
      </w:r>
    </w:p>
    <w:p>
      <w:pPr>
        <w:pStyle w:val="BodyText3"/>
        <w:numPr>
          <w:ilvl w:val="0"/>
          <w:numId w:val="3"/>
        </w:numPr>
        <w:rPr/>
      </w:pPr>
      <w:r>
        <w:rPr>
          <w:b/>
          <w:bCs/>
        </w:rPr>
        <w:t>Pricing Changes.</w:t>
      </w:r>
      <w:r>
        <w:rPr/>
        <w:t xml:space="preserve">  The pricing, terms, and conditions set forth in this document are based upon current natural gas, power and equipment pricing.  Changes in natural gas prices (NYMEX + Index + Basis) at the Waha commodity-trading hub in Waha, TX, power costs, and/or compression equipment capital costs may result in changes to any and all of the pricing, terms, and conditions presented in this document. </w:t>
      </w:r>
    </w:p>
    <w:p>
      <w:pPr>
        <w:pStyle w:val="BodyText3"/>
        <w:numPr>
          <w:ilvl w:val="0"/>
          <w:numId w:val="3"/>
        </w:numPr>
        <w:rPr/>
      </w:pPr>
      <w:r>
        <w:rPr>
          <w:b/>
          <w:bCs/>
        </w:rPr>
        <w:t xml:space="preserve">Payment Structure.  </w:t>
      </w:r>
      <w:r>
        <w:rPr/>
        <w:t xml:space="preserve">The services provided by ECS would result in a three-part compensation structure, a fixed natural gas payment, called the “Service Charge”, a fixed cash payment, and a variable $/Horsepower – Hour charge, called the “Annual Charge”.  The “Annual Charge” is structured to cover maintenance costs, fixed and variable power costs up to a minimum load factor of 30%, taxes and other components of the bundled service not covered by the natural gas payment or “Service Charge”.  The variable $/Horsepower – Hour charge is required for all usage above the minimum monthly load factor of 30%.  </w:t>
      </w:r>
    </w:p>
    <w:p>
      <w:pPr>
        <w:pStyle w:val="BodyText3"/>
        <w:numPr>
          <w:ilvl w:val="0"/>
          <w:numId w:val="3"/>
        </w:numPr>
        <w:rPr/>
      </w:pPr>
      <w:r>
        <w:rPr>
          <w:b/>
          <w:bCs/>
        </w:rPr>
        <w:t>Capital Expenditures.</w:t>
      </w:r>
      <w:r>
        <w:rPr/>
        <w:t xml:space="preserve">  This proposal is based on a total capital cost of $6,000,000, to be funded by Unocal, for the purchase of one (1) 7,000 horsepower electric motor driven reciprocating compressor and a transmission power line.  In the event that the power provider agrees to fund the capital for the transmission power line, the total capital cost would be reduced and the annual charge would be increased by an equivalent amount.</w:t>
      </w:r>
    </w:p>
    <w:p>
      <w:pPr>
        <w:pStyle w:val="BodyText3"/>
        <w:numPr>
          <w:ilvl w:val="0"/>
          <w:numId w:val="3"/>
        </w:numPr>
        <w:rPr/>
      </w:pPr>
      <w:r>
        <w:rPr>
          <w:b/>
          <w:bCs/>
        </w:rPr>
        <w:t xml:space="preserve">In-Service Dates.  </w:t>
      </w:r>
      <w:r>
        <w:rPr/>
        <w:t xml:space="preserve">In consideration of Unocal’s plans to expand its storage facility and enter Phase II, the 7,000 horsepower electric motor driven compressor would be scheduled to have a target in-service date of January 1, 2004.  The estimated in-service date for the transmission line would also be January 1, 2004.  </w:t>
      </w:r>
    </w:p>
    <w:p>
      <w:pPr>
        <w:pStyle w:val="BodyText3"/>
        <w:rPr/>
      </w:pPr>
      <w:r>
        <w:rPr/>
      </w:r>
    </w:p>
    <w:p>
      <w:pPr>
        <w:pStyle w:val="BodyText3"/>
        <w:numPr>
          <w:ilvl w:val="0"/>
          <w:numId w:val="3"/>
        </w:numPr>
        <w:rPr/>
      </w:pPr>
      <w:r>
        <w:rPr>
          <w:b/>
          <w:bCs/>
        </w:rPr>
        <w:t>Ownership of Facilities.</w:t>
      </w:r>
      <w:r>
        <w:rPr/>
        <w:t xml:space="preserve">  ECS would arrange for the equipment/materials order, delivery and installation of the electric motor driven reciprocating compressor.  ECS would also arrange for the construction of the transmission line.  Unocal would have and maintain ownership of the electric motor driven compressor.  The power provider would be the ultimate owner of the transmission line.  </w:t>
      </w:r>
    </w:p>
    <w:p>
      <w:pPr>
        <w:pStyle w:val="BodyText3"/>
        <w:numPr>
          <w:ilvl w:val="0"/>
          <w:numId w:val="3"/>
        </w:numPr>
        <w:rPr/>
      </w:pPr>
      <w:r>
        <w:rPr>
          <w:b/>
          <w:bCs/>
        </w:rPr>
        <w:t xml:space="preserve">Lease of Electric Drive Train. </w:t>
      </w:r>
      <w:r>
        <w:rPr/>
        <w:t xml:space="preserve"> ECS would lease the electrical drive train from Unocal for an annual rate of $35,000.  Unocal would provide all surface easement and rights-of-way for the project other than the power line facilities. </w:t>
      </w:r>
    </w:p>
    <w:p>
      <w:pPr>
        <w:pStyle w:val="BodyText3"/>
        <w:numPr>
          <w:ilvl w:val="0"/>
          <w:numId w:val="3"/>
        </w:numPr>
        <w:rPr/>
      </w:pPr>
      <w:r>
        <w:rPr>
          <w:b/>
          <w:bCs/>
        </w:rPr>
        <w:t>Operation and Maintenance.</w:t>
      </w:r>
      <w:r>
        <w:rPr/>
        <w:t xml:space="preserve">  ECS would provide for ongoing maintenance associated with the “electrical drive train”.  Unocal would have the option to operate the “electrical drive train” for a fee paid by ECS.  Otherwise, ECS would provide operation and maintenance services by a mutually agreeable third party operator for the electrical drive train.  Unocal would operate and control the remainder of the station.  </w:t>
      </w:r>
    </w:p>
    <w:p>
      <w:pPr>
        <w:pStyle w:val="BodyText3"/>
        <w:numPr>
          <w:ilvl w:val="0"/>
          <w:numId w:val="3"/>
        </w:numPr>
        <w:spacing w:before="0" w:after="60"/>
        <w:rPr/>
      </w:pPr>
      <w:r>
        <w:rPr>
          <w:b/>
          <w:bCs/>
        </w:rPr>
        <w:t xml:space="preserve">Delivery of HP – Hours.  </w:t>
      </w:r>
      <w:r>
        <w:rPr/>
        <w:t xml:space="preserve">The physical shaft between the electric motor and the compressor would serve as the point of delivery of Hp – Hours.  Monthly Hp – Hour usage would be determined by measurement of the KWh usage at the primary meter and then applying the following formula:  </w:t>
      </w:r>
    </w:p>
    <w:p>
      <w:pPr>
        <w:pStyle w:val="BodyText3"/>
        <w:spacing w:before="0" w:after="60"/>
        <w:ind w:firstLine="720" w:start="720" w:end="0"/>
        <w:rPr/>
      </w:pPr>
      <w:r>
        <w:rPr/>
        <w:t>(Total Monthly Kilowatt Hour Usage from the Primary Meter) x (1.341 HP/Kilowatt)</w:t>
      </w:r>
    </w:p>
    <w:p>
      <w:pPr>
        <w:pStyle w:val="BodyText3"/>
        <w:numPr>
          <w:ilvl w:val="0"/>
          <w:numId w:val="3"/>
        </w:numPr>
        <w:rPr/>
      </w:pPr>
      <w:r>
        <w:rPr>
          <w:b/>
          <w:bCs/>
        </w:rPr>
        <w:t>Service Charge</w:t>
      </w:r>
      <w:r>
        <w:rPr/>
        <w:t xml:space="preserve">.  Unocal would deliver firm natural gas volumes to ECS on a monthly basis, at a defined delivery point meter, Waha, Texas, for the delivery of HP-Hours.  </w:t>
      </w:r>
    </w:p>
    <w:p>
      <w:pPr>
        <w:pStyle w:val="BodyText3"/>
        <w:rPr/>
      </w:pPr>
      <w:r>
        <w:rPr/>
      </w:r>
    </w:p>
    <w:tbl>
      <w:tblPr>
        <w:tblW w:w="6640" w:type="dxa"/>
        <w:jc w:val="center"/>
        <w:tblInd w:w="0" w:type="dxa"/>
        <w:tblLayout w:type="fixed"/>
        <w:tblCellMar>
          <w:top w:w="0" w:type="dxa"/>
          <w:start w:w="0" w:type="dxa"/>
          <w:bottom w:w="0" w:type="dxa"/>
          <w:end w:w="0" w:type="dxa"/>
        </w:tblCellMar>
      </w:tblPr>
      <w:tblGrid>
        <w:gridCol w:w="1457"/>
        <w:gridCol w:w="1640"/>
        <w:gridCol w:w="127"/>
        <w:gridCol w:w="1779"/>
        <w:gridCol w:w="1637"/>
      </w:tblGrid>
      <w:tr>
        <w:trPr>
          <w:trHeight w:val="255" w:hRule="atLeast"/>
        </w:trPr>
        <w:tc>
          <w:tcPr>
            <w:tcW w:w="6640" w:type="dxa"/>
            <w:gridSpan w:val="5"/>
            <w:tcBorders>
              <w:top w:val="single" w:sz="4" w:space="0" w:color="000000"/>
              <w:start w:val="single" w:sz="4" w:space="0" w:color="000000"/>
              <w:end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Monthly MMBTUs Delivered</w:t>
            </w:r>
          </w:p>
        </w:tc>
      </w:tr>
      <w:tr>
        <w:trPr>
          <w:trHeight w:val="43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640" w:type="dxa"/>
            <w:tcBorders/>
            <w:shd w:fill="FFFFFF" w:val="clear"/>
            <w:vAlign w:val="bottom"/>
          </w:tcPr>
          <w:p>
            <w:pPr>
              <w:pStyle w:val="Normal"/>
              <w:jc w:val="end"/>
              <w:rPr>
                <w:rFonts w:ascii="Arial" w:hAnsi="Arial" w:eastAsia="Arial Unicode MS" w:cs="Arial"/>
                <w:b/>
                <w:bCs/>
                <w:color w:val="FF0000"/>
              </w:rPr>
            </w:pPr>
            <w:r>
              <w:rPr>
                <w:rFonts w:cs="Arial" w:ascii="Arial" w:hAnsi="Arial"/>
                <w:b/>
                <w:bCs/>
                <w:color w:val="FF0000"/>
              </w:rPr>
              <w:t>MMBTUs</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 </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color w:val="FF0000"/>
              </w:rPr>
            </w:pPr>
            <w:r>
              <w:rPr>
                <w:rFonts w:cs="Arial" w:ascii="Arial" w:hAnsi="Arial"/>
                <w:b/>
                <w:bCs/>
                <w:color w:val="FF0000"/>
              </w:rPr>
              <w:t>MMBTUs</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40" w:type="dxa"/>
            <w:tcBorders/>
            <w:shd w:fill="FFFFFF" w:val="clear"/>
            <w:vAlign w:val="bottom"/>
          </w:tcPr>
          <w:p>
            <w:pPr>
              <w:pStyle w:val="Normal"/>
              <w:jc w:val="end"/>
              <w:rPr>
                <w:rFonts w:ascii="Arial" w:hAnsi="Arial" w:eastAsia="Arial Unicode MS" w:cs="Arial"/>
                <w:b/>
                <w:bCs/>
                <w:color w:val="FF0000"/>
                <w:u w:val="single"/>
              </w:rPr>
            </w:pPr>
            <w:r>
              <w:rPr>
                <w:rFonts w:cs="Arial" w:ascii="Arial" w:hAnsi="Arial"/>
                <w:b/>
                <w:bCs/>
                <w:color w:val="FF0000"/>
                <w:u w:val="single"/>
              </w:rPr>
              <w:t>Delivered</w:t>
            </w:r>
          </w:p>
        </w:tc>
        <w:tc>
          <w:tcPr>
            <w:tcW w:w="127" w:type="dxa"/>
            <w:tcBorders/>
            <w:shd w:fill="FFFFFF" w:val="clear"/>
            <w:vAlign w:val="bottom"/>
          </w:tcPr>
          <w:p>
            <w:pPr>
              <w:pStyle w:val="Normal"/>
              <w:rPr>
                <w:rFonts w:ascii="Arial" w:hAnsi="Arial" w:eastAsia="Arial Unicode MS" w:cs="Arial"/>
                <w:color w:val="FF0000"/>
              </w:rPr>
            </w:pPr>
            <w:r>
              <w:rPr>
                <w:rFonts w:cs="Arial" w:ascii="Arial" w:hAnsi="Arial"/>
                <w:color w:val="FF0000"/>
              </w:rPr>
              <w:t> </w:t>
            </w:r>
          </w:p>
        </w:tc>
        <w:tc>
          <w:tcPr>
            <w:tcW w:w="1779" w:type="dxa"/>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color w:val="FF0000"/>
                <w:u w:val="single"/>
              </w:rPr>
            </w:pPr>
            <w:r>
              <w:rPr>
                <w:rFonts w:cs="Arial" w:ascii="Arial" w:hAnsi="Arial"/>
                <w:b/>
                <w:bCs/>
                <w:color w:val="FF0000"/>
                <w:u w:val="single"/>
              </w:rPr>
              <w:t>Delivered</w:t>
            </w:r>
          </w:p>
        </w:tc>
      </w:tr>
      <w:tr>
        <w:trPr>
          <w:trHeight w:val="330"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January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July</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February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August</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March</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September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April</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October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May</w:t>
            </w:r>
          </w:p>
        </w:tc>
        <w:tc>
          <w:tcPr>
            <w:tcW w:w="1640" w:type="dxa"/>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November</w:t>
            </w:r>
          </w:p>
        </w:tc>
        <w:tc>
          <w:tcPr>
            <w:tcW w:w="1637" w:type="dxa"/>
            <w:tcBorders>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r>
        <w:trPr>
          <w:trHeight w:val="255" w:hRule="atLeast"/>
        </w:trPr>
        <w:tc>
          <w:tcPr>
            <w:tcW w:w="1457" w:type="dxa"/>
            <w:tcBorders>
              <w:start w:val="single" w:sz="4" w:space="0" w:color="000000"/>
              <w:bottom w:val="single" w:sz="4" w:space="0" w:color="000000"/>
            </w:tcBorders>
            <w:shd w:fill="FFFFFF" w:val="clear"/>
            <w:vAlign w:val="bottom"/>
          </w:tcPr>
          <w:p>
            <w:pPr>
              <w:pStyle w:val="Normal"/>
              <w:rPr>
                <w:rFonts w:ascii="Arial" w:hAnsi="Arial" w:eastAsia="Arial Unicode MS" w:cs="Arial"/>
              </w:rPr>
            </w:pPr>
            <w:r>
              <w:rPr>
                <w:rFonts w:cs="Arial" w:ascii="Arial" w:hAnsi="Arial"/>
              </w:rPr>
              <w:t>June</w:t>
            </w:r>
          </w:p>
        </w:tc>
        <w:tc>
          <w:tcPr>
            <w:tcW w:w="1640" w:type="dxa"/>
            <w:tcBorders>
              <w:bottom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c>
          <w:tcPr>
            <w:tcW w:w="127"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December</w:t>
            </w:r>
          </w:p>
        </w:tc>
        <w:tc>
          <w:tcPr>
            <w:tcW w:w="1637" w:type="dxa"/>
            <w:tcBorders>
              <w:bottom w:val="single" w:sz="4" w:space="0" w:color="000000"/>
              <w:end w:val="single" w:sz="4" w:space="0" w:color="000000"/>
            </w:tcBorders>
            <w:shd w:fill="FFFFFF" w:val="clear"/>
            <w:vAlign w:val="bottom"/>
          </w:tcPr>
          <w:p>
            <w:pPr>
              <w:pStyle w:val="Normal"/>
              <w:snapToGrid w:val="false"/>
              <w:jc w:val="end"/>
              <w:rPr>
                <w:rFonts w:ascii="Arial" w:hAnsi="Arial" w:eastAsia="Arial Unicode MS" w:cs="Arial"/>
              </w:rPr>
            </w:pPr>
            <w:r>
              <w:rPr>
                <w:rFonts w:eastAsia="Arial Unicode MS" w:cs="Arial" w:ascii="Arial" w:hAnsi="Arial"/>
              </w:rPr>
            </w:r>
          </w:p>
        </w:tc>
      </w:tr>
    </w:tbl>
    <w:p>
      <w:pPr>
        <w:pStyle w:val="BodyText3"/>
        <w:rPr/>
      </w:pPr>
      <w:r>
        <w:rPr/>
      </w:r>
    </w:p>
    <w:p>
      <w:pPr>
        <w:pStyle w:val="BodyText3"/>
        <w:numPr>
          <w:ilvl w:val="0"/>
          <w:numId w:val="3"/>
        </w:numPr>
        <w:rPr/>
      </w:pPr>
      <w:r>
        <w:rPr>
          <w:b/>
          <w:bCs/>
        </w:rPr>
        <w:t>Annual Charge</w:t>
      </w:r>
      <w:r>
        <w:rPr/>
        <w:t xml:space="preserve">.  Unocal would also pay ECS cash compensation for cost recovery during the contract term, as follows:   </w:t>
      </w:r>
    </w:p>
    <w:p>
      <w:pPr>
        <w:pStyle w:val="BodyText3"/>
        <w:numPr>
          <w:ilvl w:val="0"/>
          <w:numId w:val="4"/>
        </w:numPr>
        <w:spacing w:before="0" w:after="60"/>
        <w:rPr/>
      </w:pPr>
      <w:r>
        <w:rPr/>
        <w:t xml:space="preserve">The fixed component of the “Annual Charge” would amount to </w:t>
      </w:r>
      <w:r>
        <w:rPr>
          <w:color w:val="FF0000"/>
        </w:rPr>
        <w:t>$______</w:t>
      </w:r>
      <w:r>
        <w:rPr/>
        <w:t xml:space="preserve"> annually in equal monthly installments of </w:t>
      </w:r>
      <w:r>
        <w:rPr>
          <w:color w:val="FF0000"/>
        </w:rPr>
        <w:t>$_______</w:t>
      </w:r>
      <w:r>
        <w:rPr/>
        <w:t>.</w:t>
      </w:r>
    </w:p>
    <w:p>
      <w:pPr>
        <w:pStyle w:val="Normal"/>
        <w:numPr>
          <w:ilvl w:val="0"/>
          <w:numId w:val="4"/>
        </w:numPr>
        <w:spacing w:before="0" w:after="60"/>
        <w:jc w:val="both"/>
        <w:rPr>
          <w:sz w:val="22"/>
        </w:rPr>
      </w:pPr>
      <w:r>
        <w:rPr>
          <w:sz w:val="22"/>
        </w:rPr>
        <w:t>The variable $/Horsepower – Hour component of the “Annual Charge” applies to actual horsepower usage greater than a 30% monthly Load Factor.  HP-Hr usage greater than a 30% monthly Load Factor will be assessed a monthly fee of $.____/HP-Hr used.</w:t>
      </w:r>
    </w:p>
    <w:p>
      <w:pPr>
        <w:pStyle w:val="Normal"/>
        <w:rPr>
          <w:color w:val="FF0000"/>
          <w:sz w:val="24"/>
        </w:rPr>
      </w:pPr>
      <w:r>
        <w:rPr>
          <w:color w:val="FF0000"/>
          <w:sz w:val="24"/>
        </w:rPr>
      </w:r>
    </w:p>
    <w:p>
      <w:pPr>
        <w:pStyle w:val="Heading5"/>
        <w:spacing w:before="40" w:after="60"/>
        <w:ind w:firstLine="720" w:start="0" w:end="0"/>
        <w:jc w:val="both"/>
        <w:rPr>
          <w:b/>
          <w:sz w:val="24"/>
        </w:rPr>
      </w:pPr>
      <w:r>
        <w:rPr>
          <w:b/>
          <w:sz w:val="24"/>
        </w:rPr>
        <w:t xml:space="preserve">Base Gas Loan  </w:t>
      </w:r>
    </w:p>
    <w:p>
      <w:pPr>
        <w:pStyle w:val="Normal"/>
        <w:spacing w:before="0" w:after="60"/>
        <w:ind w:start="720" w:end="0"/>
        <w:rPr>
          <w:color w:val="FF0000"/>
          <w:sz w:val="22"/>
        </w:rPr>
      </w:pPr>
      <w:r>
        <w:rPr>
          <w:sz w:val="22"/>
        </w:rPr>
        <w:t xml:space="preserve">This proposal made by Enron North America, a Delaware corporation (“ENA”), for the purpose of evaluating the prospect of Unocal contracting with ENA for the provision of base gas (pad gas) in the quantity of 1.5 Bcf for the Unocal’s Keystone storage facility in Kermit, TX.  ENA would provide base gas to Unocal strictly for the purpose of providing pressure on the Keystone storage facility.  </w:t>
      </w:r>
    </w:p>
    <w:p>
      <w:pPr>
        <w:pStyle w:val="BodyText3"/>
        <w:numPr>
          <w:ilvl w:val="0"/>
          <w:numId w:val="2"/>
        </w:numPr>
        <w:rPr/>
      </w:pPr>
      <w:r>
        <w:rPr>
          <w:b/>
        </w:rPr>
        <w:t xml:space="preserve">Amount of Base Gas.  </w:t>
      </w:r>
      <w:r>
        <w:rPr/>
        <w:t>The amount of base gas to be parked in the Keystone storage facility is estimated at 1.5 Bcf, but it is understood that the exact quantity may vary and will be subject to negotiation between ENA and Unocal.</w:t>
      </w:r>
    </w:p>
    <w:p>
      <w:pPr>
        <w:pStyle w:val="BodyText3"/>
        <w:numPr>
          <w:ilvl w:val="0"/>
          <w:numId w:val="2"/>
        </w:numPr>
        <w:rPr/>
      </w:pPr>
      <w:r>
        <w:rPr>
          <w:b/>
        </w:rPr>
        <w:t xml:space="preserve">Delivery of Gas.  </w:t>
      </w:r>
      <w:r>
        <w:rPr/>
        <w:t>ENA promises to deliver the gas to Unocal at the Waha hub starting on June 1, 2002 on an equally prorated basis until the last day of the month (June 30, 2002).</w:t>
      </w:r>
    </w:p>
    <w:p>
      <w:pPr>
        <w:pStyle w:val="BodyText3"/>
        <w:numPr>
          <w:ilvl w:val="0"/>
          <w:numId w:val="2"/>
        </w:numPr>
        <w:rPr/>
      </w:pPr>
      <w:r>
        <w:rPr>
          <w:b/>
        </w:rPr>
        <w:t xml:space="preserve">Redelivery of Gas.  </w:t>
      </w:r>
      <w:r>
        <w:rPr/>
        <w:t>Unocal promises to redeliver the gas back to ENA at the Waha hub starting on January 1, 2004 on an equally prorated basis until the last day of the month (January 31, 2004).</w:t>
      </w:r>
    </w:p>
    <w:p>
      <w:pPr>
        <w:pStyle w:val="BodyText3"/>
        <w:numPr>
          <w:ilvl w:val="0"/>
          <w:numId w:val="2"/>
        </w:numPr>
        <w:rPr/>
      </w:pPr>
      <w:r>
        <w:rPr>
          <w:b/>
        </w:rPr>
        <w:t xml:space="preserve">Price.  </w:t>
      </w:r>
      <w:r>
        <w:rPr/>
        <w:t>ENA will not charge Unocal for the service of providing pressure to Keystone through the use of ENA’s gas.  In addition, ENA shall not be liable to Unocal for the costs, if any, of maintaining or injecting ENA’s gas into the Keystone storage facility.</w:t>
      </w:r>
    </w:p>
    <w:p>
      <w:pPr>
        <w:pStyle w:val="BodyText3"/>
        <w:numPr>
          <w:ilvl w:val="0"/>
          <w:numId w:val="2"/>
        </w:numPr>
        <w:rPr/>
      </w:pPr>
      <w:r>
        <w:rPr>
          <w:b/>
        </w:rPr>
        <w:t xml:space="preserve">Use of Gas.  </w:t>
      </w:r>
      <w:r>
        <w:rPr/>
        <w:t xml:space="preserve">Unocal may not use ENA’s gas for any other purpose than to provide pressure to its storage facility.  Unocal may not sell, loan, mortgage or otherwise place a lien on that gas.  ENA may, but will not be required to, agree to let Unocal use that gas for purposes other than to provide pressure to the Keystone storage facility.  In the event that ENA agrees to any such arrangement, ENA reserves the right to negotiate a fee or a credit support instrument for such a transaction.   </w:t>
      </w:r>
    </w:p>
    <w:p>
      <w:pPr>
        <w:pStyle w:val="BodyText3"/>
        <w:numPr>
          <w:ilvl w:val="0"/>
          <w:numId w:val="2"/>
        </w:numPr>
        <w:rPr/>
      </w:pPr>
      <w:r>
        <w:rPr>
          <w:b/>
        </w:rPr>
        <w:t xml:space="preserve">Maintenance and Safety of the Gas.  </w:t>
      </w:r>
      <w:r>
        <w:rPr/>
        <w:t>Unocal accepts the fiduciary responsibility of maintaining the gas loaned by ENA and Unocal agrees that it may not rescind its obligation to redeliver ENA’s gas as outlined in point #3.</w:t>
      </w:r>
    </w:p>
    <w:p>
      <w:pPr>
        <w:pStyle w:val="BodyText3"/>
        <w:numPr>
          <w:ilvl w:val="0"/>
          <w:numId w:val="2"/>
        </w:numPr>
        <w:rPr/>
      </w:pPr>
      <w:r>
        <w:rPr>
          <w:b/>
        </w:rPr>
        <w:t xml:space="preserve">Liquidated Damages.  </w:t>
      </w:r>
      <w:r>
        <w:rPr/>
        <w:t xml:space="preserve">In the event that ENA is unable to deliver the negotiated amount of gas at the Waha hub as indicated on point #2, ENA shall provide to </w:t>
      </w:r>
      <w:r>
        <w:rPr>
          <w:color w:val="0000FF"/>
        </w:rPr>
        <w:t>Unocal</w:t>
      </w:r>
      <w:r>
        <w:rPr/>
        <w:t xml:space="preserve"> Gas Daily FOM index (June 2002) for </w:t>
      </w:r>
      <w:r>
        <w:rPr>
          <w:color w:val="0000FF"/>
        </w:rPr>
        <w:t>Waha to</w:t>
      </w:r>
      <w:r>
        <w:rPr/>
        <w:t xml:space="preserve"> allow Unocal to go to the market and purchase the gas it needs for pressure.  In this event the gas purchased and injected into the facility would still belong to ENA for redelivery at the end of the term.  In the event that Unocal does not redeliver to ENA the gas at the Waha hub as indicated in point #3, ENA shall be entitled to receive from Unocal Gas Daily FOM index (January 04) for Waha + </w:t>
      </w:r>
      <w:r>
        <w:rPr>
          <w:color w:val="0000FF"/>
        </w:rPr>
        <w:t>$.25</w:t>
      </w:r>
      <w:r>
        <w:rPr>
          <w:color w:val="FF0000"/>
        </w:rPr>
        <w:t xml:space="preserve"> </w:t>
      </w:r>
      <w:r>
        <w:rPr/>
        <w:t xml:space="preserve">(times the amount of gas to be delivered) to allow ENA to recoup the cost to repurchase the gas that is due to ENA. </w:t>
      </w:r>
    </w:p>
    <w:p>
      <w:pPr>
        <w:pStyle w:val="BodyText2"/>
        <w:jc w:val="both"/>
        <w:rPr/>
      </w:pPr>
      <w:r>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rPr>
      </w:pPr>
      <w:r>
        <w:rPr>
          <w:u w:val="single"/>
        </w:rPr>
        <w:t>Enron Contact Information</w:t>
      </w:r>
    </w:p>
    <w:p>
      <w:pPr>
        <w:pStyle w:val="BodyText2"/>
        <w:jc w:val="both"/>
        <w:rPr>
          <w:b w:val="false"/>
        </w:rPr>
      </w:pPr>
      <w:r>
        <w:rPr>
          <w:b w:val="fals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Normal"/>
        <w:rPr>
          <w:bCs/>
          <w:sz w:val="24"/>
          <w:u w:val="single"/>
        </w:rPr>
      </w:pPr>
      <w:r>
        <w:rPr>
          <w:bCs/>
          <w:sz w:val="24"/>
          <w:u w:val="single"/>
        </w:rPr>
      </w:r>
    </w:p>
    <w:p>
      <w:pPr>
        <w:pStyle w:val="Normal"/>
        <w:rPr/>
      </w:pPr>
      <w:r>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July 1, 2002 to June 30,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Service Level</w:t>
      </w:r>
      <w:r>
        <w:rPr>
          <w:sz w:val="22"/>
        </w:rPr>
        <w:t>:  Firm</w:t>
      </w:r>
    </w:p>
    <w:p>
      <w:pPr>
        <w:pStyle w:val="Normal"/>
        <w:spacing w:before="0" w:after="40"/>
        <w:rPr/>
      </w:pPr>
      <w:r>
        <w:rPr>
          <w:b/>
          <w:bCs/>
          <w:sz w:val="22"/>
          <w:u w:val="single"/>
        </w:rPr>
        <w:t>Demand Rate</w:t>
      </w:r>
      <w:r>
        <w:rPr>
          <w:sz w:val="22"/>
        </w:rPr>
        <w:t xml:space="preserve">:  </w:t>
      </w:r>
      <w:r>
        <w:rPr>
          <w:color w:val="0000FF"/>
          <w:sz w:val="22"/>
        </w:rPr>
        <w:t>$1.65/MMBtu</w:t>
      </w:r>
    </w:p>
    <w:p>
      <w:pPr>
        <w:pStyle w:val="Normal"/>
        <w:spacing w:before="0" w:after="40"/>
        <w:rPr>
          <w:color w:val="FF0000"/>
          <w:sz w:val="22"/>
        </w:rPr>
      </w:pPr>
      <w:r>
        <w:rPr>
          <w:color w:val="FF0000"/>
          <w:sz w:val="22"/>
        </w:rPr>
      </w:r>
    </w:p>
    <w:p>
      <w:pPr>
        <w:pStyle w:val="Normal"/>
        <w:spacing w:before="0" w:after="40"/>
        <w:rPr>
          <w:b/>
          <w:bCs/>
          <w:color w:val="FF0000"/>
          <w:sz w:val="22"/>
          <w:u w:val="single"/>
        </w:rPr>
      </w:pPr>
      <w:r>
        <w:rPr>
          <w:b/>
          <w:bCs/>
          <w:color w:val="FF0000"/>
          <w:sz w:val="22"/>
          <w:u w:val="single"/>
        </w:rPr>
      </w:r>
    </w:p>
    <w:p>
      <w:pPr>
        <w:pStyle w:val="Normal"/>
        <w:spacing w:before="0" w:after="40"/>
        <w:rPr>
          <w:b/>
          <w:bCs/>
          <w:sz w:val="22"/>
          <w:u w:val="single"/>
        </w:rPr>
      </w:pPr>
      <w:r>
        <w:rPr>
          <w:b/>
          <w:bCs/>
          <w:sz w:val="22"/>
          <w:u w:val="single"/>
        </w:rPr>
      </w:r>
    </w:p>
    <w:p>
      <w:pPr>
        <w:pStyle w:val="Normal"/>
        <w:spacing w:before="0" w:after="40"/>
        <w:rPr/>
      </w:pPr>
      <w:r>
        <w:rPr>
          <w:b/>
          <w:bCs/>
          <w:sz w:val="22"/>
          <w:u w:val="single"/>
        </w:rPr>
        <w:t>Phase</w:t>
      </w:r>
      <w:r>
        <w:rPr>
          <w:sz w:val="22"/>
        </w:rPr>
        <w:t>:  II</w:t>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January 1, 2004 to June 30, 2009</w:t>
      </w:r>
    </w:p>
    <w:p>
      <w:pPr>
        <w:pStyle w:val="Normal"/>
        <w:spacing w:before="0" w:after="40"/>
        <w:rPr/>
      </w:pPr>
      <w:r>
        <w:rPr>
          <w:b/>
          <w:bCs/>
          <w:sz w:val="22"/>
          <w:u w:val="single"/>
        </w:rPr>
        <w:t>Receipt Point</w:t>
      </w:r>
      <w:r>
        <w:rPr>
          <w:sz w:val="22"/>
        </w:rPr>
        <w:t>:  Storage Facility Meter</w:t>
      </w:r>
    </w:p>
    <w:p>
      <w:pPr>
        <w:pStyle w:val="Normal"/>
        <w:spacing w:before="0" w:after="40"/>
        <w:rPr/>
      </w:pPr>
      <w:r>
        <w:rPr>
          <w:b/>
          <w:bCs/>
          <w:sz w:val="22"/>
          <w:u w:val="single"/>
        </w:rPr>
        <w:t>Delivery Point</w:t>
      </w:r>
      <w:r>
        <w:rPr>
          <w:sz w:val="22"/>
        </w:rPr>
        <w:t>:  Storage Facility Meter</w:t>
      </w:r>
    </w:p>
    <w:p>
      <w:pPr>
        <w:pStyle w:val="Normal"/>
        <w:spacing w:before="0" w:after="40"/>
        <w:rPr/>
      </w:pPr>
      <w:r>
        <w:rPr>
          <w:b/>
          <w:bCs/>
          <w:sz w:val="22"/>
          <w:u w:val="single"/>
        </w:rPr>
        <w:t>Maximum Injection Rate</w:t>
      </w:r>
      <w:r>
        <w:rPr>
          <w:sz w:val="22"/>
        </w:rPr>
        <w:t>:  75 MMcf/day</w:t>
      </w:r>
    </w:p>
    <w:p>
      <w:pPr>
        <w:pStyle w:val="Normal"/>
        <w:spacing w:before="0" w:after="40"/>
        <w:rPr/>
      </w:pPr>
      <w:r>
        <w:rPr>
          <w:b/>
          <w:bCs/>
          <w:sz w:val="22"/>
          <w:u w:val="single"/>
        </w:rPr>
        <w:t>Maximum Withdrawal Rate</w:t>
      </w:r>
      <w:r>
        <w:rPr>
          <w:sz w:val="22"/>
        </w:rPr>
        <w:t>:  150 MMcf/day</w:t>
      </w:r>
    </w:p>
    <w:p>
      <w:pPr>
        <w:pStyle w:val="Normal"/>
        <w:spacing w:before="0" w:after="40"/>
        <w:rPr/>
      </w:pPr>
      <w:r>
        <w:rPr>
          <w:b/>
          <w:bCs/>
          <w:sz w:val="22"/>
          <w:u w:val="single"/>
        </w:rPr>
        <w:t>Service Level</w:t>
      </w:r>
      <w:r>
        <w:rPr>
          <w:sz w:val="22"/>
        </w:rPr>
        <w:t>:  Firm</w:t>
      </w:r>
    </w:p>
    <w:p>
      <w:pPr>
        <w:pStyle w:val="Normal"/>
        <w:spacing w:before="0" w:after="40"/>
        <w:rPr/>
      </w:pPr>
      <w:r>
        <w:rPr>
          <w:b/>
          <w:bCs/>
          <w:sz w:val="22"/>
          <w:u w:val="single"/>
        </w:rPr>
        <w:t>Demand Rate</w:t>
      </w:r>
      <w:r>
        <w:rPr>
          <w:sz w:val="22"/>
        </w:rPr>
        <w:t xml:space="preserve">:  </w:t>
      </w:r>
      <w:r>
        <w:rPr>
          <w:color w:val="0000FF"/>
          <w:sz w:val="22"/>
        </w:rPr>
        <w:t>$1.05/MMBtu</w:t>
      </w:r>
    </w:p>
    <w:p>
      <w:pPr>
        <w:pStyle w:val="Heading2"/>
        <w:ind w:hanging="0" w:start="0"/>
        <w:rPr>
          <w:color w:val="0000FF"/>
          <w:sz w:val="26"/>
        </w:rPr>
      </w:pPr>
      <w:r>
        <w:rPr>
          <w:color w:val="0000FF"/>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Heading7"/>
        <w:ind w:hanging="0" w:start="0"/>
        <w:rPr>
          <w:bCs/>
          <w:sz w:val="24"/>
          <w:u w:val="single"/>
        </w:rPr>
      </w:pPr>
      <w:r>
        <w:rPr>
          <w:bCs/>
          <w:sz w:val="24"/>
          <w:u w:val="single"/>
        </w:rPr>
      </w:r>
    </w:p>
    <w:p>
      <w:pPr>
        <w:pStyle w:val="Normal"/>
        <w:rPr>
          <w:bCs/>
          <w:sz w:val="24"/>
          <w:u w:val="single"/>
        </w:rPr>
      </w:pPr>
      <w:r>
        <w:rPr>
          <w:bCs/>
          <w:sz w:val="24"/>
          <w:u w:val="single"/>
        </w:rPr>
      </w:r>
    </w:p>
    <w:p>
      <w:pPr>
        <w:pStyle w:val="Normal"/>
        <w:rPr/>
      </w:pPr>
      <w:r>
        <w:rPr/>
      </w:r>
    </w:p>
    <w:p>
      <w:pPr>
        <w:pStyle w:val="Heading7"/>
        <w:ind w:hanging="0" w:start="0"/>
        <w:rPr>
          <w:bCs/>
          <w:sz w:val="24"/>
          <w:u w:val="single"/>
        </w:rPr>
      </w:pPr>
      <w:r>
        <w:rPr>
          <w:bCs/>
          <w:sz w:val="24"/>
          <w:u w:val="single"/>
        </w:rPr>
        <w:t>EXHIBIT II – Firm Transportation Backhaul on NNG</w:t>
      </w:r>
    </w:p>
    <w:p>
      <w:pPr>
        <w:pStyle w:val="Normal"/>
        <w:rPr>
          <w:b/>
          <w:bCs/>
          <w:sz w:val="22"/>
          <w:u w:val="single"/>
        </w:rPr>
      </w:pPr>
      <w:r>
        <w:rPr>
          <w:b/>
          <w:bCs/>
          <w:sz w:val="22"/>
          <w:u w:val="single"/>
        </w:rPr>
      </w:r>
    </w:p>
    <w:p>
      <w:pPr>
        <w:pStyle w:val="Normal"/>
        <w:rPr>
          <w:b/>
          <w:bCs/>
          <w:sz w:val="22"/>
        </w:rPr>
      </w:pPr>
      <w:r>
        <w:rPr>
          <w:b/>
          <w:bCs/>
          <w:sz w:val="22"/>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Maximum Daily Capacity</w:t>
      </w:r>
      <w:r>
        <w:rPr>
          <w:sz w:val="22"/>
        </w:rPr>
        <w:t>:  100,000 MMBtu/day</w:t>
      </w:r>
    </w:p>
    <w:p>
      <w:pPr>
        <w:pStyle w:val="Normal"/>
        <w:spacing w:before="0" w:after="40"/>
        <w:rPr/>
      </w:pPr>
      <w:r>
        <w:rPr>
          <w:b/>
          <w:bCs/>
          <w:sz w:val="22"/>
          <w:u w:val="single"/>
        </w:rPr>
        <w:t>Term</w:t>
      </w:r>
      <w:r>
        <w:rPr>
          <w:sz w:val="22"/>
        </w:rPr>
        <w:t>:  7 years beginning July 1, 2002 to June 30, 2009</w:t>
      </w:r>
    </w:p>
    <w:p>
      <w:pPr>
        <w:pStyle w:val="Normal"/>
        <w:spacing w:before="0" w:after="40"/>
        <w:rPr>
          <w:b/>
          <w:bCs/>
          <w:sz w:val="22"/>
          <w:u w:val="single"/>
        </w:rPr>
      </w:pPr>
      <w:r>
        <w:rPr>
          <w:b/>
          <w:bCs/>
          <w:sz w:val="22"/>
          <w:u w:val="single"/>
        </w:rPr>
        <w:t>Receipt Point</w:t>
      </w:r>
      <w:r>
        <w:rPr>
          <w:sz w:val="22"/>
        </w:rPr>
        <w:t>:  New</w:t>
      </w:r>
      <w:r>
        <w:rPr>
          <w:color w:val="0000FF"/>
          <w:sz w:val="22"/>
        </w:rPr>
        <w:t xml:space="preserve"> Unocal</w:t>
      </w:r>
      <w:r>
        <w:rPr>
          <w:sz w:val="22"/>
        </w:rPr>
        <w:t xml:space="preserve"> Keystone-NNG Interconnect</w:t>
      </w:r>
    </w:p>
    <w:p>
      <w:pPr>
        <w:pStyle w:val="Normal"/>
        <w:spacing w:before="0" w:after="40"/>
        <w:rPr/>
      </w:pPr>
      <w:r>
        <w:rPr>
          <w:b/>
          <w:bCs/>
          <w:sz w:val="22"/>
          <w:u w:val="single"/>
        </w:rPr>
        <w:t>Delivery Points</w:t>
      </w:r>
      <w:r>
        <w:rPr>
          <w:sz w:val="22"/>
        </w:rPr>
        <w:t xml:space="preserve">:  </w:t>
      </w:r>
      <w:r>
        <w:rPr>
          <w:color w:val="0000FF"/>
          <w:sz w:val="22"/>
        </w:rPr>
        <w:t>50,000 MMBtu/d Oasis Waha</w:t>
      </w:r>
    </w:p>
    <w:p>
      <w:pPr>
        <w:pStyle w:val="BodyText3"/>
        <w:spacing w:before="0" w:after="20"/>
        <w:ind w:start="720" w:end="0"/>
        <w:rPr>
          <w:color w:val="0000FF"/>
        </w:rPr>
      </w:pPr>
      <w:r>
        <w:rPr>
          <w:color w:val="0000FF"/>
        </w:rPr>
        <w:tab/>
        <w:t xml:space="preserve">   25,000 MMBtu/d Norval</w:t>
      </w:r>
    </w:p>
    <w:p>
      <w:pPr>
        <w:pStyle w:val="BodyText3"/>
        <w:spacing w:before="0" w:after="20"/>
        <w:ind w:start="720" w:end="0"/>
        <w:rPr>
          <w:color w:val="0000FF"/>
        </w:rPr>
      </w:pPr>
      <w:r>
        <w:rPr>
          <w:color w:val="0000FF"/>
        </w:rPr>
        <w:tab/>
        <w:t xml:space="preserve">   12,500 MMBtu/d Valero Spraberry</w:t>
      </w:r>
    </w:p>
    <w:p>
      <w:pPr>
        <w:pStyle w:val="BodyText3"/>
        <w:spacing w:before="0" w:after="20"/>
        <w:ind w:start="720" w:end="0"/>
        <w:rPr/>
      </w:pPr>
      <w:r>
        <w:rPr>
          <w:color w:val="0000FF"/>
        </w:rPr>
        <w:tab/>
        <w:t xml:space="preserve"> </w:t>
      </w:r>
      <w:r>
        <w:rPr>
          <w:color w:val="0000FF"/>
          <w:u w:val="single"/>
        </w:rPr>
        <w:t xml:space="preserve">  12,500 MMBtu/d Lone Star Spraberry  </w:t>
      </w:r>
    </w:p>
    <w:p>
      <w:pPr>
        <w:pStyle w:val="BodyText3"/>
        <w:spacing w:before="0" w:after="60"/>
        <w:ind w:start="720" w:end="0"/>
        <w:rPr>
          <w:color w:val="0000FF"/>
        </w:rPr>
      </w:pPr>
      <w:r>
        <w:rPr>
          <w:color w:val="0000FF"/>
        </w:rPr>
        <w:t xml:space="preserve">  </w:t>
      </w:r>
      <w:r>
        <w:rPr>
          <w:color w:val="0000FF"/>
        </w:rPr>
        <w:tab/>
        <w:t xml:space="preserve"> 100,000 Total MMBtu/d</w:t>
      </w:r>
    </w:p>
    <w:p>
      <w:pPr>
        <w:pStyle w:val="BodyText3"/>
        <w:spacing w:before="0" w:after="60"/>
        <w:rPr>
          <w:color w:val="0000FF"/>
        </w:rPr>
      </w:pPr>
      <w:r>
        <w:rPr>
          <w:color w:val="0000FF"/>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3"/>
        <w:rPr/>
      </w:pPr>
      <w:r>
        <w:rPr/>
        <w:tab/>
      </w:r>
    </w:p>
    <w:p>
      <w:pPr>
        <w:pStyle w:val="Normal"/>
        <w:spacing w:before="0" w:after="40"/>
        <w:rPr/>
      </w:pPr>
      <w:r>
        <w:rPr>
          <w:b/>
          <w:bCs/>
          <w:sz w:val="22"/>
          <w:u w:val="single"/>
        </w:rPr>
        <w:t>Phase</w:t>
      </w:r>
      <w:r>
        <w:rPr>
          <w:sz w:val="22"/>
        </w:rPr>
        <w:t>:  II</w:t>
      </w:r>
    </w:p>
    <w:p>
      <w:pPr>
        <w:pStyle w:val="Normal"/>
        <w:spacing w:before="0" w:after="40"/>
        <w:rPr/>
      </w:pPr>
      <w:r>
        <w:rPr>
          <w:b/>
          <w:bCs/>
          <w:sz w:val="22"/>
          <w:u w:val="single"/>
        </w:rPr>
        <w:t>Maximum Daily Capacity</w:t>
      </w:r>
      <w:r>
        <w:rPr>
          <w:sz w:val="22"/>
        </w:rPr>
        <w:t>:  50,000 MMBtu/day</w:t>
      </w:r>
    </w:p>
    <w:p>
      <w:pPr>
        <w:pStyle w:val="Normal"/>
        <w:spacing w:before="0" w:after="40"/>
        <w:rPr/>
      </w:pPr>
      <w:r>
        <w:rPr>
          <w:b/>
          <w:bCs/>
          <w:sz w:val="22"/>
          <w:u w:val="single"/>
        </w:rPr>
        <w:t>Term</w:t>
      </w:r>
      <w:r>
        <w:rPr>
          <w:sz w:val="22"/>
        </w:rPr>
        <w:t>:  7 years beginning January 1, 2004 to June 30, 2009</w:t>
      </w:r>
    </w:p>
    <w:p>
      <w:pPr>
        <w:pStyle w:val="Normal"/>
        <w:spacing w:before="0" w:after="40"/>
        <w:rPr>
          <w:b/>
          <w:bCs/>
          <w:sz w:val="22"/>
          <w:u w:val="single"/>
        </w:rPr>
      </w:pPr>
      <w:r>
        <w:rPr>
          <w:b/>
          <w:bCs/>
          <w:sz w:val="22"/>
          <w:u w:val="single"/>
        </w:rPr>
        <w:t>Receipt Point</w:t>
      </w:r>
      <w:r>
        <w:rPr>
          <w:sz w:val="22"/>
        </w:rPr>
        <w:t xml:space="preserve">:  New </w:t>
      </w:r>
      <w:r>
        <w:rPr>
          <w:color w:val="0000FF"/>
          <w:sz w:val="22"/>
        </w:rPr>
        <w:t>Unocal</w:t>
      </w:r>
      <w:r>
        <w:rPr>
          <w:sz w:val="22"/>
        </w:rPr>
        <w:t xml:space="preserve"> Keystone-NNG Interconnect</w:t>
      </w:r>
    </w:p>
    <w:p>
      <w:pPr>
        <w:pStyle w:val="Normal"/>
        <w:spacing w:before="0" w:after="40"/>
        <w:rPr/>
      </w:pPr>
      <w:r>
        <w:rPr>
          <w:b/>
          <w:bCs/>
          <w:sz w:val="22"/>
          <w:u w:val="single"/>
        </w:rPr>
        <w:t>Delivery Points</w:t>
      </w:r>
      <w:r>
        <w:rPr>
          <w:sz w:val="22"/>
        </w:rPr>
        <w:t xml:space="preserve">:  </w:t>
      </w:r>
      <w:r>
        <w:rPr>
          <w:color w:val="0000FF"/>
          <w:sz w:val="22"/>
        </w:rPr>
        <w:t>25,000 MMBtu/d Oasis Waha</w:t>
      </w:r>
    </w:p>
    <w:p>
      <w:pPr>
        <w:pStyle w:val="BodyText3"/>
        <w:spacing w:before="0" w:after="20"/>
        <w:ind w:start="720" w:end="0"/>
        <w:rPr>
          <w:color w:val="0000FF"/>
        </w:rPr>
      </w:pPr>
      <w:r>
        <w:rPr>
          <w:color w:val="0000FF"/>
        </w:rPr>
        <w:tab/>
        <w:t xml:space="preserve">   12,500 MMBtu/d Norval</w:t>
      </w:r>
    </w:p>
    <w:p>
      <w:pPr>
        <w:pStyle w:val="BodyText3"/>
        <w:spacing w:before="0" w:after="20"/>
        <w:ind w:start="720" w:end="0"/>
        <w:rPr>
          <w:color w:val="0000FF"/>
        </w:rPr>
      </w:pPr>
      <w:r>
        <w:rPr>
          <w:color w:val="0000FF"/>
        </w:rPr>
        <w:tab/>
        <w:t xml:space="preserve">     6,250 MMBtu/d Valero Spraberry</w:t>
      </w:r>
    </w:p>
    <w:p>
      <w:pPr>
        <w:pStyle w:val="BodyText3"/>
        <w:spacing w:before="0" w:after="20"/>
        <w:ind w:start="720" w:end="0"/>
        <w:rPr/>
      </w:pPr>
      <w:r>
        <w:rPr>
          <w:color w:val="0000FF"/>
        </w:rPr>
        <w:tab/>
        <w:t xml:space="preserve">  </w:t>
      </w:r>
      <w:r>
        <w:rPr>
          <w:color w:val="0000FF"/>
          <w:u w:val="single"/>
        </w:rPr>
        <w:t xml:space="preserve">   6,250 MMBtu/d Lone Star Spraberry  </w:t>
      </w:r>
    </w:p>
    <w:p>
      <w:pPr>
        <w:pStyle w:val="BodyText3"/>
        <w:spacing w:before="0" w:after="60"/>
        <w:ind w:start="720" w:end="0"/>
        <w:rPr>
          <w:color w:val="0000FF"/>
        </w:rPr>
      </w:pPr>
      <w:r>
        <w:rPr>
          <w:color w:val="0000FF"/>
        </w:rPr>
        <w:tab/>
        <w:t xml:space="preserve">   50,000 Total MMBtu/d</w:t>
      </w:r>
    </w:p>
    <w:p>
      <w:pPr>
        <w:pStyle w:val="BodyText3"/>
        <w:spacing w:before="0" w:after="60"/>
        <w:rPr/>
      </w:pPr>
      <w:r>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$0.065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2"/>
        <w:jc w:val="both"/>
        <w:rPr/>
      </w:pPr>
      <w:r>
        <w:rPr/>
      </w:r>
    </w:p>
    <w:p>
      <w:pPr>
        <w:pStyle w:val="Normal"/>
        <w:rPr>
          <w:sz w:val="22"/>
        </w:rPr>
      </w:pPr>
      <w:r>
        <w:rPr>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b/>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upperLetter"/>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3z0">
    <w:name w:val="WW8Num3z0"/>
    <w:qFormat/>
    <w:rPr/>
  </w:style>
  <w:style w:type="character" w:styleId="WW8Num4z0">
    <w:name w:val="WW8Num4z0"/>
    <w:qFormat/>
    <w:rPr>
      <w:b/>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2001-09-07T14:15:00Z</dcterms:created>
  <dc:creator>mknippa</dc:creator>
  <dc:description/>
  <dc:language>en-CA</dc:language>
  <cp:lastModifiedBy>ldruzbik</cp:lastModifiedBy>
  <cp:lastPrinted>2001-08-28T16:05:00Z</cp:lastPrinted>
  <dcterms:modified xsi:type="dcterms:W3CDTF">2001-09-07T14:15:00Z</dcterms:modified>
  <cp:revision>2</cp:revision>
  <dc:subject/>
  <dc:title>INTRODUCTION</dc:title>
</cp:coreProperties>
</file>