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png" ContentType="image/png"/>
  <Override PartName="/word/embeddings/oleObject1.xlsx" ContentType="application/vnd.openxmlformats-officedocument.spreadsheetml.sheet"/>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Arial" w:hAnsi="Arial" w:cs="Arial"/>
          <w:sz w:val="22"/>
        </w:rPr>
      </w:pPr>
      <w:r>
        <w:rPr>
          <w:rFonts w:cs="Arial" w:ascii="Arial" w:hAnsi="Arial"/>
          <w:sz w:val="22"/>
        </w:rPr>
      </w:r>
    </w:p>
    <w:p>
      <w:pPr>
        <w:pStyle w:val="Heading1"/>
        <w:ind w:hanging="0" w:start="0"/>
        <w:jc w:val="center"/>
        <w:rPr>
          <w:rFonts w:ascii="Arial" w:hAnsi="Arial" w:cs="Arial"/>
          <w:sz w:val="22"/>
        </w:rPr>
      </w:pPr>
      <w:r>
        <w:rPr>
          <w:rFonts w:cs="Arial" w:ascii="Arial" w:hAnsi="Arial"/>
          <w:sz w:val="22"/>
        </w:rPr>
        <w:t>UNINSTRUCTED DEVIATION CHARGE DISCUSSION PAPER</w:t>
      </w:r>
    </w:p>
    <w:p>
      <w:pPr>
        <w:pStyle w:val="Heading1"/>
        <w:ind w:hanging="0" w:start="0"/>
        <w:jc w:val="center"/>
        <w:rPr>
          <w:rFonts w:ascii="Arial" w:hAnsi="Arial" w:cs="Arial"/>
          <w:sz w:val="22"/>
        </w:rPr>
      </w:pPr>
      <w:r>
        <w:rPr>
          <w:rFonts w:cs="Arial" w:ascii="Arial" w:hAnsi="Arial"/>
          <w:sz w:val="22"/>
        </w:rPr>
      </w:r>
    </w:p>
    <w:p>
      <w:pPr>
        <w:pStyle w:val="Heading1"/>
        <w:ind w:hanging="0" w:start="0"/>
        <w:jc w:val="both"/>
        <w:rPr>
          <w:rFonts w:ascii="Arial" w:hAnsi="Arial" w:cs="Arial"/>
          <w:sz w:val="22"/>
        </w:rPr>
      </w:pPr>
      <w:r>
        <w:rPr>
          <w:rFonts w:cs="Arial" w:ascii="Arial" w:hAnsi="Arial"/>
          <w:sz w:val="22"/>
        </w:rPr>
        <w:t>INTRODUCTION</w:t>
      </w:r>
    </w:p>
    <w:p>
      <w:pPr>
        <w:pStyle w:val="Normal"/>
        <w:jc w:val="both"/>
        <w:rPr>
          <w:rFonts w:ascii="Arial" w:hAnsi="Arial" w:cs="Arial"/>
          <w:sz w:val="22"/>
        </w:rPr>
      </w:pPr>
      <w:r>
        <w:rPr>
          <w:rFonts w:cs="Arial" w:ascii="Arial" w:hAnsi="Arial"/>
          <w:sz w:val="22"/>
        </w:rPr>
        <w:t>As part of the long-term target price development, the CAISO must develop a strategy to minimize potential Uninstructed Deviations by generators scheduling and selling energy into the real-time market.  To do this, an ISO cross-functional team was assembled.  As design details were developed, the ISO shared details with market participants at Market Issues Forum meetings in order to gather comments from the stakeholders that would be considered as final policy decisions were being deliberated.  Based on discussions thus far between the ISO and stakeholders, the ISO believes there is a need to focus on several specific components of the uninstructed deviation proposal with stakeholders groups prior to finalizing the Uninstructed Deviation proposal and submitting this to FERC for incorporation into the ISO tariff.</w:t>
      </w:r>
    </w:p>
    <w:p>
      <w:pPr>
        <w:pStyle w:val="Normal"/>
        <w:jc w:val="both"/>
        <w:rPr>
          <w:rFonts w:ascii="Arial" w:hAnsi="Arial" w:cs="Arial"/>
          <w:sz w:val="22"/>
        </w:rPr>
      </w:pPr>
      <w:r>
        <w:rPr>
          <w:rFonts w:cs="Arial" w:ascii="Arial" w:hAnsi="Arial"/>
          <w:sz w:val="22"/>
        </w:rPr>
      </w:r>
    </w:p>
    <w:p>
      <w:pPr>
        <w:pStyle w:val="Heading1"/>
        <w:ind w:hanging="0" w:start="0"/>
        <w:jc w:val="both"/>
        <w:rPr>
          <w:rFonts w:ascii="Arial" w:hAnsi="Arial" w:cs="Arial"/>
          <w:sz w:val="22"/>
        </w:rPr>
      </w:pPr>
      <w:r>
        <w:rPr>
          <w:rFonts w:cs="Arial" w:ascii="Arial" w:hAnsi="Arial"/>
          <w:sz w:val="22"/>
        </w:rPr>
        <w:t>BACKGROUND</w:t>
      </w:r>
    </w:p>
    <w:p>
      <w:pPr>
        <w:pStyle w:val="Normal"/>
        <w:jc w:val="both"/>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b/>
          <w:sz w:val="22"/>
        </w:rPr>
      </w:r>
    </w:p>
    <w:p>
      <w:pPr>
        <w:pStyle w:val="Header"/>
        <w:tabs>
          <w:tab w:val="clear" w:pos="4320"/>
          <w:tab w:val="clear" w:pos="8640"/>
        </w:tabs>
        <w:jc w:val="both"/>
        <w:rPr/>
      </w:pPr>
      <w:r>
        <w:rPr/>
        <w:t xml:space="preserve">The CAISO operates a real-time energy market for matching resources and loads in real time.  This is an incremental market for deviations from forward market schedules.  The original design of the real-time market assumed that the trading volume in this market would be small compared to that of the forward markets.  The objective of this market is to manage small deviations from schedules due to various factors including load forecast errors, unforeseen generation and transmission outages and scheduling decisions.  In such a market structure, the volume of uninstructed deviations may be, and have been, a concern.  Large uninstructed deviations could be the result of arbitrage across markets to reduce the overall procurement cost.  They could even take place if the energy price is much higher in real time.  </w:t>
      </w:r>
    </w:p>
    <w:p>
      <w:pPr>
        <w:pStyle w:val="Header"/>
        <w:tabs>
          <w:tab w:val="clear" w:pos="4320"/>
          <w:tab w:val="clear" w:pos="8640"/>
        </w:tabs>
        <w:jc w:val="both"/>
        <w:rPr/>
      </w:pPr>
      <w:r>
        <w:rPr/>
      </w:r>
    </w:p>
    <w:p>
      <w:pPr>
        <w:pStyle w:val="Header"/>
        <w:tabs>
          <w:tab w:val="clear" w:pos="4320"/>
          <w:tab w:val="clear" w:pos="8640"/>
        </w:tabs>
        <w:jc w:val="both"/>
        <w:rPr/>
      </w:pPr>
      <w:r>
        <w:rPr/>
        <w:t xml:space="preserve">Since the inception of the California Market, the ISO has struggled with adequate real-time dispatch performance by generators.  When the ISO first became operational, the ISO had a single ex-post price that was being set every 10 minutes.   During this time, the ISO observed price-chasing behavior.  Price chasing is the practice of generators deviating from pre-scheduled and instructed energy instructions in response to the 10 minute ex-post prices or the hourly ex-post price.   </w:t>
      </w:r>
    </w:p>
    <w:p>
      <w:pPr>
        <w:pStyle w:val="Header"/>
        <w:tabs>
          <w:tab w:val="clear" w:pos="4320"/>
          <w:tab w:val="clear" w:pos="8640"/>
        </w:tabs>
        <w:jc w:val="both"/>
        <w:rPr/>
      </w:pPr>
      <w:r>
        <w:rPr/>
      </w:r>
    </w:p>
    <w:p>
      <w:pPr>
        <w:pStyle w:val="Normal"/>
        <w:jc w:val="both"/>
        <w:rPr>
          <w:rFonts w:ascii="Arial" w:hAnsi="Arial" w:cs="Arial"/>
          <w:sz w:val="22"/>
        </w:rPr>
      </w:pPr>
      <w:r>
        <w:rPr>
          <w:rFonts w:cs="Arial" w:ascii="Arial" w:hAnsi="Arial"/>
          <w:sz w:val="22"/>
        </w:rPr>
        <w:t xml:space="preserve">As of September 1, 2000, the ISO modified its real-time market in two significant ways to decrease and the incidence of real-time energy deviations and make scheduling coordinators accountable for their uninstructed deviations.  First, the introduction of the 10-minute settlements  resulted in two separate prices, an incremental and decremental price, every ten minutes.  Any positive uninstructed deviations within a 10-minute interval were paid the interval decremental price and any negative uninstructed deviations were charged the interval incremental price.    With 10-minute settlements, uninstructed deviations were settled on a net scheduling coordinator basis. One of the goals of 10-minute settlements was to provide operational discipline such that resources that are instructed to deliver energy do so in the interval it was asked and not over an hour. At the time, several scheduling coordinators objected to the netting because it caused some scheduling coordinators issues when allocating uninstructed deviation charges to their participants.   </w:t>
      </w:r>
      <w:r>
        <w:br w:type="page"/>
      </w:r>
    </w:p>
    <w:p>
      <w:pPr>
        <w:pStyle w:val="Normal"/>
        <w:jc w:val="both"/>
        <w:rPr>
          <w:rFonts w:ascii="Arial" w:hAnsi="Arial" w:cs="Arial"/>
          <w:sz w:val="22"/>
        </w:rPr>
      </w:pPr>
      <w:r>
        <w:rPr>
          <w:rFonts w:cs="Arial" w:ascii="Arial" w:hAnsi="Arial"/>
          <w:sz w:val="22"/>
        </w:rPr>
      </w:r>
    </w:p>
    <w:p>
      <w:pPr>
        <w:pStyle w:val="Header"/>
        <w:tabs>
          <w:tab w:val="clear" w:pos="4320"/>
          <w:tab w:val="clear" w:pos="8640"/>
        </w:tabs>
        <w:jc w:val="both"/>
        <w:rPr/>
      </w:pPr>
      <w:r>
        <w:rPr/>
        <w:t xml:space="preserve">The other change was in generator communications.  The ISO also presently communicates incremental dispatch instructions as deviations from hour-ahead schedules plus previous instructions.  The result of this practice can lead to confusion regarding the target dispatch expected after all the instructions have accumulated.  </w:t>
      </w:r>
    </w:p>
    <w:p>
      <w:pPr>
        <w:pStyle w:val="Normal"/>
        <w:jc w:val="both"/>
        <w:rPr>
          <w:rFonts w:ascii="Arial" w:hAnsi="Arial" w:cs="Arial"/>
          <w:sz w:val="22"/>
        </w:rPr>
      </w:pPr>
      <w:r>
        <w:rPr>
          <w:rFonts w:cs="Arial" w:ascii="Arial" w:hAnsi="Arial"/>
          <w:sz w:val="22"/>
        </w:rPr>
      </w:r>
    </w:p>
    <w:p>
      <w:pPr>
        <w:pStyle w:val="Header"/>
        <w:tabs>
          <w:tab w:val="clear" w:pos="4320"/>
          <w:tab w:val="clear" w:pos="8640"/>
        </w:tabs>
        <w:jc w:val="both"/>
        <w:rPr/>
      </w:pPr>
      <w:r>
        <w:rPr/>
        <w:t xml:space="preserve">Although uninstructed deviation behavior has changed since introducing 10-minute settlements, the current level of uninstructed deviations is unacceptable, and threatens system reliability.  Table 1, on the following page, summarizes the average level of positive and negative uninstructed deviations from generation since June 2000.  </w:t>
      </w:r>
    </w:p>
    <w:p>
      <w:pPr>
        <w:pStyle w:val="Header"/>
        <w:tabs>
          <w:tab w:val="clear" w:pos="4320"/>
          <w:tab w:val="clear" w:pos="8640"/>
        </w:tabs>
        <w:jc w:val="both"/>
        <w:rPr/>
      </w:pPr>
      <w:r>
        <w:rPr/>
      </w:r>
    </w:p>
    <w:p>
      <w:pPr>
        <w:pStyle w:val="Header"/>
        <w:tabs>
          <w:tab w:val="clear" w:pos="4320"/>
          <w:tab w:val="clear" w:pos="8640"/>
        </w:tabs>
        <w:jc w:val="both"/>
        <w:rPr/>
      </w:pPr>
      <w:r>
        <w:rPr/>
        <w:t>Figure 1, below, provides some insight into the range of deviation that occurs for thermal resources in the CAISO control area.   We highlight thermal resources since they represent a large portion of the dispatchable resources available in real-time for dispatch.  These data indicate that a large distribution of the uninstructed deviations fall between ±3%.  The data also shows that negative deviations occur more frequently than positive deviations, for the period from June 2001 to August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drawing>
          <wp:anchor behindDoc="0" distT="0" distB="0" distL="114935" distR="114935" simplePos="0" locked="0" layoutInCell="1" allowOverlap="1" relativeHeight="15">
            <wp:simplePos x="0" y="0"/>
            <wp:positionH relativeFrom="column">
              <wp:posOffset>411480</wp:posOffset>
            </wp:positionH>
            <wp:positionV relativeFrom="paragraph">
              <wp:posOffset>311150</wp:posOffset>
            </wp:positionV>
            <wp:extent cx="4533900" cy="263842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14" r="-8" b="-14"/>
                    <a:stretch>
                      <a:fillRect/>
                    </a:stretch>
                  </pic:blipFill>
                  <pic:spPr bwMode="auto">
                    <a:xfrm>
                      <a:off x="0" y="0"/>
                      <a:ext cx="4533900" cy="2638425"/>
                    </a:xfrm>
                    <a:prstGeom prst="rect">
                      <a:avLst/>
                    </a:prstGeom>
                    <a:noFill/>
                  </pic:spPr>
                </pic:pic>
              </a:graphicData>
            </a:graphic>
          </wp:anchor>
        </w:drawing>
      </w:r>
      <w:r>
        <w:rPr>
          <w:rFonts w:cs="Arial" w:ascii="Arial" w:hAnsi="Arial"/>
          <w:b/>
          <w:sz w:val="22"/>
        </w:rPr>
        <w:t>Figure 1: Thermal Resource Uninstructed Deviation Range</w:t>
      </w:r>
    </w:p>
    <w:p>
      <w:pPr>
        <w:pStyle w:val="Normal"/>
        <w:jc w:val="center"/>
        <w:rPr>
          <w:rFonts w:ascii="Arial" w:hAnsi="Arial" w:cs="Arial"/>
          <w:b/>
          <w:sz w:val="22"/>
        </w:rPr>
      </w:pPr>
      <w:r>
        <w:rPr>
          <w:rFonts w:cs="Arial" w:ascii="Arial" w:hAnsi="Arial"/>
          <w:b/>
          <w:sz w:val="22"/>
        </w:rPr>
        <w:t>(June 2001-August 2001)</w:t>
      </w:r>
    </w:p>
    <w:p>
      <w:pPr>
        <w:pStyle w:val="Normal"/>
        <w:jc w:val="center"/>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object w:dxaOrig="7681" w:dyaOrig="384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46.8pt;margin-top:-11.5pt;width:355.55pt;height:195pt;mso-wrap-distance-left:9.05pt;mso-wrap-distance-right:9.05pt;mso-position-horizontal-relative:text;mso-position-vertical-relative:text" filled="f" o:ole="">
            <v:imagedata r:id="rId4" o:title=""/>
            <w10:wrap type="topAndBottom"/>
          </v:shape>
          <o:OLEObject Type="Embed" ProgID="Excel.Sheet.12" ShapeID="ole_rId3" DrawAspect="Content" ObjectID="_1225140997" r:id="rId3"/>
        </w:object>
      </w:r>
    </w:p>
    <w:p>
      <w:pPr>
        <w:pStyle w:val="Normal"/>
        <w:jc w:val="both"/>
        <w:rPr>
          <w:rFonts w:ascii="Arial" w:hAnsi="Arial" w:cs="Arial"/>
          <w:sz w:val="22"/>
        </w:rPr>
      </w:pPr>
      <w:r>
        <w:rPr>
          <w:rFonts w:cs="Arial" w:ascii="Arial" w:hAnsi="Arial"/>
          <w:sz w:val="22"/>
        </w:rPr>
      </w:r>
    </w:p>
    <w:p>
      <w:pPr>
        <w:pStyle w:val="Header"/>
        <w:tabs>
          <w:tab w:val="clear" w:pos="4320"/>
          <w:tab w:val="clear" w:pos="8640"/>
        </w:tabs>
        <w:jc w:val="both"/>
        <w:rPr>
          <w:rFonts w:ascii="Arial" w:hAnsi="Arial" w:cs="Arial"/>
          <w:sz w:val="22"/>
        </w:rPr>
      </w:pPr>
      <w:r>
        <w:rPr>
          <w:rFonts w:cs="Arial"/>
          <w:sz w:val="22"/>
        </w:rPr>
      </w:r>
    </w:p>
    <w:p>
      <w:pPr>
        <w:pStyle w:val="Header"/>
        <w:tabs>
          <w:tab w:val="clear" w:pos="4320"/>
          <w:tab w:val="clear" w:pos="8640"/>
        </w:tabs>
        <w:jc w:val="both"/>
        <w:rPr/>
      </w:pPr>
      <w:r>
        <w:rPr/>
      </w:r>
      <w:r>
        <w:br w:type="page"/>
      </w:r>
    </w:p>
    <w:p>
      <w:pPr>
        <w:pStyle w:val="Header"/>
        <w:tabs>
          <w:tab w:val="clear" w:pos="4320"/>
          <w:tab w:val="clear" w:pos="8640"/>
        </w:tabs>
        <w:jc w:val="center"/>
        <w:rPr>
          <w:b/>
        </w:rPr>
      </w:pPr>
      <w:r>
        <w:rPr>
          <w:b/>
        </w:rPr>
        <w:t>Table 1</w:t>
      </w:r>
    </w:p>
    <w:p>
      <w:pPr>
        <w:pStyle w:val="Header"/>
        <w:tabs>
          <w:tab w:val="clear" w:pos="4320"/>
          <w:tab w:val="clear" w:pos="8640"/>
        </w:tabs>
        <w:jc w:val="center"/>
        <w:rPr>
          <w:b/>
        </w:rPr>
      </w:pPr>
      <w:r>
        <w:rPr>
          <w:b/>
        </w:rPr>
        <w:t>Average Monthly Positive and Negative</w:t>
      </w:r>
    </w:p>
    <w:p>
      <w:pPr>
        <w:pStyle w:val="Header"/>
        <w:tabs>
          <w:tab w:val="clear" w:pos="4320"/>
          <w:tab w:val="clear" w:pos="8640"/>
        </w:tabs>
        <w:jc w:val="center"/>
        <w:rPr>
          <w:b/>
        </w:rPr>
      </w:pPr>
      <w:r>
        <w:rPr>
          <w:b/>
        </w:rPr>
        <w:t>Uninstructed Deviations</w:t>
      </w:r>
    </w:p>
    <w:p>
      <w:pPr>
        <w:pStyle w:val="Header"/>
        <w:tabs>
          <w:tab w:val="clear" w:pos="4320"/>
          <w:tab w:val="clear" w:pos="8640"/>
        </w:tabs>
        <w:jc w:val="both"/>
        <w:rPr>
          <w:b/>
        </w:rPr>
      </w:pPr>
      <w:r>
        <w:rPr>
          <w:b/>
        </w:rPr>
      </w:r>
    </w:p>
    <w:p>
      <w:pPr>
        <w:pStyle w:val="Header"/>
        <w:tabs>
          <w:tab w:val="clear" w:pos="4320"/>
          <w:tab w:val="clear" w:pos="8640"/>
        </w:tabs>
        <w:jc w:val="both"/>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Period</w:t>
            </w:r>
          </w:p>
        </w:tc>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 xml:space="preserve">Average Net Positive Deviation from Generation </w:t>
            </w:r>
            <w:r>
              <w:rPr>
                <w:rStyle w:val="FootnoteCharacters"/>
                <w:rStyle w:val="FootnoteReference"/>
                <w:rFonts w:cs="Arial" w:ascii="Arial" w:hAnsi="Arial"/>
                <w:b/>
                <w:sz w:val="22"/>
              </w:rPr>
              <w:footnoteReference w:id="2"/>
            </w:r>
          </w:p>
        </w:tc>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Average Net Negative Deviation from Generation</w:t>
            </w:r>
          </w:p>
        </w:tc>
      </w:tr>
      <w:tr>
        <w:trPr/>
        <w:tc>
          <w:tcPr>
            <w:tcW w:w="3192" w:type="dxa"/>
            <w:tcBorders>
              <w:top w:val="single" w:sz="4" w:space="0" w:color="000000"/>
              <w:start w:val="single" w:sz="4" w:space="0" w:color="000000"/>
              <w:end w:val="single" w:sz="4" w:space="0" w:color="000000"/>
            </w:tcBorders>
          </w:tcPr>
          <w:p>
            <w:pPr>
              <w:pStyle w:val="Heading3"/>
              <w:ind w:hanging="0" w:start="0"/>
              <w:jc w:val="both"/>
              <w:rPr>
                <w:sz w:val="22"/>
              </w:rPr>
            </w:pPr>
            <w:r>
              <w:rPr>
                <w:sz w:val="22"/>
              </w:rPr>
              <w:t>Jun - Aug 2000</w:t>
            </w:r>
          </w:p>
        </w:tc>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959.9 MW</w:t>
            </w:r>
          </w:p>
        </w:tc>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557.0 MW</w:t>
            </w:r>
          </w:p>
        </w:tc>
      </w:tr>
      <w:tr>
        <w:trPr/>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June</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895.0</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632.8</w:t>
            </w:r>
          </w:p>
        </w:tc>
      </w:tr>
      <w:tr>
        <w:trPr/>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July</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882.8</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564.4</w:t>
            </w:r>
          </w:p>
        </w:tc>
      </w:tr>
      <w:tr>
        <w:trPr/>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August</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1099.8</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476.2</w:t>
            </w:r>
          </w:p>
        </w:tc>
      </w:tr>
      <w:tr>
        <w:trPr/>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Sept – Nov 2000</w:t>
            </w:r>
          </w:p>
        </w:tc>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479.1</w:t>
            </w:r>
          </w:p>
        </w:tc>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620.1</w:t>
            </w:r>
          </w:p>
        </w:tc>
      </w:tr>
      <w:tr>
        <w:trPr/>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September</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569.3</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591.1</w:t>
            </w:r>
          </w:p>
        </w:tc>
      </w:tr>
      <w:tr>
        <w:trPr/>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October</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362.5</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609.8</w:t>
            </w:r>
          </w:p>
        </w:tc>
      </w:tr>
      <w:tr>
        <w:trPr/>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November</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509.6</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659.6</w:t>
            </w:r>
          </w:p>
        </w:tc>
      </w:tr>
      <w:tr>
        <w:trPr/>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Dec 2000 – Feb 2001</w:t>
            </w:r>
          </w:p>
        </w:tc>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659.9</w:t>
            </w:r>
          </w:p>
        </w:tc>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829.7</w:t>
            </w:r>
          </w:p>
        </w:tc>
      </w:tr>
      <w:tr>
        <w:trPr/>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December</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721.7</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659.7</w:t>
            </w:r>
          </w:p>
        </w:tc>
      </w:tr>
      <w:tr>
        <w:trPr/>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January</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531.6</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866.8</w:t>
            </w:r>
          </w:p>
        </w:tc>
      </w:tr>
      <w:tr>
        <w:trPr/>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February</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729.0</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978.3</w:t>
            </w:r>
          </w:p>
        </w:tc>
      </w:tr>
      <w:tr>
        <w:trPr/>
        <w:tc>
          <w:tcPr>
            <w:tcW w:w="3192" w:type="dxa"/>
            <w:tcBorders>
              <w:top w:val="single" w:sz="4" w:space="0" w:color="000000"/>
              <w:start w:val="single" w:sz="4" w:space="0" w:color="000000"/>
              <w:end w:val="single" w:sz="4" w:space="0" w:color="000000"/>
            </w:tcBorders>
          </w:tcPr>
          <w:p>
            <w:pPr>
              <w:pStyle w:val="Heading2"/>
              <w:ind w:hanging="0" w:start="0"/>
              <w:jc w:val="both"/>
              <w:rPr/>
            </w:pPr>
            <w:r>
              <w:rPr/>
              <w:t>Mar – May 2001</w:t>
            </w:r>
          </w:p>
        </w:tc>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297.1</w:t>
            </w:r>
          </w:p>
        </w:tc>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808.9</w:t>
            </w:r>
          </w:p>
        </w:tc>
      </w:tr>
      <w:tr>
        <w:trPr/>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March</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298.4</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720.2</w:t>
            </w:r>
          </w:p>
        </w:tc>
      </w:tr>
      <w:tr>
        <w:trPr/>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April</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287.8</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859.7</w:t>
            </w:r>
          </w:p>
        </w:tc>
      </w:tr>
      <w:tr>
        <w:trPr/>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May</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304.7</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848.7</w:t>
            </w:r>
          </w:p>
        </w:tc>
      </w:tr>
      <w:tr>
        <w:trPr/>
        <w:tc>
          <w:tcPr>
            <w:tcW w:w="3192" w:type="dxa"/>
            <w:tcBorders>
              <w:top w:val="single" w:sz="4" w:space="0" w:color="000000"/>
              <w:start w:val="single" w:sz="4" w:space="0" w:color="000000"/>
              <w:end w:val="single" w:sz="4" w:space="0" w:color="000000"/>
            </w:tcBorders>
          </w:tcPr>
          <w:p>
            <w:pPr>
              <w:pStyle w:val="Heading2"/>
              <w:ind w:hanging="0" w:start="0"/>
              <w:jc w:val="both"/>
              <w:rPr/>
            </w:pPr>
            <w:r>
              <w:rPr/>
              <w:t>Jun – Aug 2001</w:t>
            </w:r>
          </w:p>
        </w:tc>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382.6</w:t>
            </w:r>
          </w:p>
        </w:tc>
        <w:tc>
          <w:tcPr>
            <w:tcW w:w="3192" w:type="dxa"/>
            <w:tcBorders>
              <w:top w:val="single" w:sz="4" w:space="0" w:color="000000"/>
              <w:start w:val="single" w:sz="4" w:space="0" w:color="000000"/>
              <w:end w:val="single" w:sz="4" w:space="0" w:color="000000"/>
            </w:tcBorders>
          </w:tcPr>
          <w:p>
            <w:pPr>
              <w:pStyle w:val="Normal"/>
              <w:keepNext w:val="true"/>
              <w:keepLines/>
              <w:jc w:val="both"/>
              <w:rPr>
                <w:rFonts w:ascii="Arial" w:hAnsi="Arial" w:cs="Arial"/>
                <w:b/>
                <w:sz w:val="22"/>
              </w:rPr>
            </w:pPr>
            <w:r>
              <w:rPr>
                <w:rFonts w:cs="Arial" w:ascii="Arial" w:hAnsi="Arial"/>
                <w:b/>
                <w:sz w:val="22"/>
              </w:rPr>
              <w:t>981.2</w:t>
            </w:r>
          </w:p>
        </w:tc>
      </w:tr>
      <w:tr>
        <w:trPr/>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June</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549.9</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1087.2</w:t>
            </w:r>
          </w:p>
        </w:tc>
      </w:tr>
      <w:tr>
        <w:trPr/>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July</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322.0</w:t>
            </w:r>
          </w:p>
        </w:tc>
        <w:tc>
          <w:tcPr>
            <w:tcW w:w="3192" w:type="dxa"/>
            <w:tcBorders>
              <w:start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974.5</w:t>
            </w:r>
          </w:p>
        </w:tc>
      </w:tr>
      <w:tr>
        <w:trPr/>
        <w:tc>
          <w:tcPr>
            <w:tcW w:w="3192" w:type="dxa"/>
            <w:tcBorders>
              <w:start w:val="single" w:sz="4" w:space="0" w:color="000000"/>
              <w:bottom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August</w:t>
            </w:r>
          </w:p>
        </w:tc>
        <w:tc>
          <w:tcPr>
            <w:tcW w:w="3192" w:type="dxa"/>
            <w:tcBorders>
              <w:start w:val="single" w:sz="4" w:space="0" w:color="000000"/>
              <w:bottom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278.1</w:t>
            </w:r>
          </w:p>
        </w:tc>
        <w:tc>
          <w:tcPr>
            <w:tcW w:w="3192" w:type="dxa"/>
            <w:tcBorders>
              <w:start w:val="single" w:sz="4" w:space="0" w:color="000000"/>
              <w:bottom w:val="single" w:sz="4" w:space="0" w:color="000000"/>
              <w:end w:val="single" w:sz="4" w:space="0" w:color="000000"/>
            </w:tcBorders>
          </w:tcPr>
          <w:p>
            <w:pPr>
              <w:pStyle w:val="Normal"/>
              <w:keepNext w:val="true"/>
              <w:keepLines/>
              <w:jc w:val="both"/>
              <w:rPr>
                <w:rFonts w:ascii="Arial" w:hAnsi="Arial" w:cs="Arial"/>
                <w:sz w:val="22"/>
              </w:rPr>
            </w:pPr>
            <w:r>
              <w:rPr>
                <w:rFonts w:cs="Arial" w:ascii="Arial" w:hAnsi="Arial"/>
                <w:sz w:val="22"/>
              </w:rPr>
              <w:t>882.1</w:t>
            </w:r>
          </w:p>
        </w:tc>
      </w:tr>
    </w:tbl>
    <w:p>
      <w:pPr>
        <w:pStyle w:val="Header"/>
        <w:tabs>
          <w:tab w:val="clear" w:pos="4320"/>
          <w:tab w:val="clear" w:pos="8640"/>
        </w:tabs>
        <w:jc w:val="both"/>
        <w:rPr/>
      </w:pPr>
      <w:r>
        <w:rPr/>
      </w:r>
    </w:p>
    <w:p>
      <w:pPr>
        <w:pStyle w:val="Normal"/>
        <w:jc w:val="both"/>
        <w:rPr>
          <w:rFonts w:ascii="Arial" w:hAnsi="Arial" w:cs="Arial"/>
          <w:sz w:val="22"/>
        </w:rPr>
      </w:pPr>
      <w:r>
        <w:rPr>
          <w:rFonts w:cs="Arial" w:ascii="Arial" w:hAnsi="Arial"/>
          <w:sz w:val="22"/>
        </w:rPr>
      </w:r>
    </w:p>
    <w:p>
      <w:pPr>
        <w:pStyle w:val="Header"/>
        <w:tabs>
          <w:tab w:val="clear" w:pos="4320"/>
          <w:tab w:val="clear" w:pos="8640"/>
        </w:tabs>
        <w:jc w:val="both"/>
        <w:rPr>
          <w:rFonts w:ascii="Arial" w:hAnsi="Arial" w:cs="Arial"/>
          <w:sz w:val="22"/>
        </w:rPr>
      </w:pPr>
      <w:r>
        <w:rPr>
          <w:rFonts w:cs="Arial"/>
          <w:sz w:val="22"/>
        </w:rPr>
      </w:r>
      <w:r>
        <w:br w:type="page"/>
      </w:r>
    </w:p>
    <w:p>
      <w:pPr>
        <w:pStyle w:val="Normal"/>
        <w:jc w:val="both"/>
        <w:rPr/>
      </w:pPr>
      <w:r>
        <w:rPr>
          <w:rFonts w:cs="Arial" w:ascii="Arial" w:hAnsi="Arial"/>
          <w:sz w:val="22"/>
        </w:rPr>
        <w:t>The ISO filed an emergency filing (Amendment 33) with FERC on December 8, 2000 which, in part, included a request to apply a penalty to generators that fail to perform in response to Dispatch Instructions during system emergencies.  The motion was granted the same day.   Based on Amendment 33, the ISO currently charges twice the highest price paid for energy in the hour to resources that fail to perform in response to Dispatch Instructions.  If firm load- shedding occurred during the hour, an additional $1,000/MWh charge is applied.  The CAISO Compliance Department has assessed more than $120 million</w:t>
      </w:r>
      <w:r>
        <w:rPr>
          <w:rStyle w:val="FootnoteCharacters"/>
          <w:rStyle w:val="FootnoteReference"/>
          <w:rFonts w:cs="Arial" w:ascii="Arial" w:hAnsi="Arial"/>
          <w:sz w:val="22"/>
        </w:rPr>
        <w:footnoteReference w:id="3"/>
      </w:r>
      <w:r>
        <w:rPr>
          <w:rFonts w:cs="Arial" w:ascii="Arial" w:hAnsi="Arial"/>
          <w:sz w:val="22"/>
        </w:rPr>
        <w:t xml:space="preserve"> in penalties against Scheduling Coordinators who have failed to respond to Dispatch Instructions during System Emergencies.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At the September 2001 CAISO Board Meeting, the board approved proposed changes for eliminating the real-time price overlap by doing away with the target price and clearing the overlap by dispatching bids in the overlap.   As a result of this change, the ISO will move away from the incremental / decremental pricing system and move to a single clearing price.  As a result of the single clearing price and the need to discourage uninstructed deviations, the ISO Staff proposed, and the Board approved, putting the proper incentives in place to discourage uninstructed deviations.</w:t>
      </w:r>
    </w:p>
    <w:p>
      <w:pPr>
        <w:pStyle w:val="Normal"/>
        <w:jc w:val="both"/>
        <w:rPr>
          <w:rFonts w:ascii="Arial" w:hAnsi="Arial" w:cs="Arial"/>
          <w:sz w:val="22"/>
        </w:rPr>
      </w:pPr>
      <w:r>
        <w:rPr>
          <w:rFonts w:cs="Arial" w:ascii="Arial" w:hAnsi="Arial"/>
          <w:sz w:val="22"/>
        </w:rPr>
      </w:r>
    </w:p>
    <w:p>
      <w:pPr>
        <w:pStyle w:val="Heading1"/>
        <w:ind w:hanging="0" w:start="0"/>
        <w:jc w:val="both"/>
        <w:rPr>
          <w:rFonts w:ascii="Arial" w:hAnsi="Arial" w:cs="Arial"/>
          <w:sz w:val="22"/>
        </w:rPr>
      </w:pPr>
      <w:r>
        <w:rPr>
          <w:rFonts w:cs="Arial" w:ascii="Arial" w:hAnsi="Arial"/>
          <w:sz w:val="22"/>
        </w:rPr>
        <w:t>OTHER ISO’S</w:t>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The California ISO is not unique in having to deal with uninstructed deviations in the real-time market.   Other ISOs have had to address the uninstructed deviation issue in various ways.   Table 2, on the following page, summarizes the practices of other Independent System Operators operating in the United States.  </w:t>
      </w:r>
    </w:p>
    <w:p>
      <w:pPr>
        <w:pStyle w:val="Header"/>
        <w:tabs>
          <w:tab w:val="clear" w:pos="4320"/>
          <w:tab w:val="clear" w:pos="8640"/>
        </w:tabs>
        <w:jc w:val="both"/>
        <w:rPr>
          <w:rFonts w:ascii="Arial" w:hAnsi="Arial" w:cs="Arial"/>
          <w:sz w:val="22"/>
        </w:rPr>
      </w:pPr>
      <w:r>
        <w:rPr>
          <w:rFonts w:cs="Arial"/>
          <w:sz w:val="22"/>
        </w:rPr>
      </w:r>
    </w:p>
    <w:p>
      <w:pPr>
        <w:pStyle w:val="Header"/>
        <w:tabs>
          <w:tab w:val="clear" w:pos="4320"/>
          <w:tab w:val="clear" w:pos="8640"/>
        </w:tabs>
        <w:jc w:val="center"/>
        <w:rPr>
          <w:b/>
        </w:rPr>
      </w:pPr>
      <w:r>
        <w:rPr>
          <w:b/>
        </w:rPr>
        <w:t>Table 2</w:t>
      </w:r>
    </w:p>
    <w:p>
      <w:pPr>
        <w:pStyle w:val="Header"/>
        <w:tabs>
          <w:tab w:val="clear" w:pos="4320"/>
          <w:tab w:val="clear" w:pos="8640"/>
        </w:tabs>
        <w:jc w:val="center"/>
        <w:rPr/>
      </w:pPr>
      <w:r>
        <w:rPr/>
        <w:t>Uninstructed Generation Policies Among ISOs</w:t>
      </w:r>
    </w:p>
    <w:tbl>
      <w:tblPr>
        <w:tblW w:w="8855" w:type="dxa"/>
        <w:jc w:val="start"/>
        <w:tblInd w:w="0" w:type="dxa"/>
        <w:tblLayout w:type="fixed"/>
        <w:tblCellMar>
          <w:top w:w="0" w:type="dxa"/>
          <w:start w:w="108" w:type="dxa"/>
          <w:bottom w:w="0" w:type="dxa"/>
          <w:end w:w="108" w:type="dxa"/>
        </w:tblCellMar>
      </w:tblPr>
      <w:tblGrid>
        <w:gridCol w:w="918"/>
        <w:gridCol w:w="2070"/>
        <w:gridCol w:w="1080"/>
        <w:gridCol w:w="1710"/>
        <w:gridCol w:w="1530"/>
        <w:gridCol w:w="1547"/>
      </w:tblGrid>
      <w:tr>
        <w:trPr/>
        <w:tc>
          <w:tcPr>
            <w:tcW w:w="9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center"/>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sz w:val="16"/>
              </w:rPr>
            </w:pPr>
            <w:r>
              <w:rPr>
                <w:b/>
                <w:sz w:val="16"/>
              </w:rPr>
              <w:t>Dead-band for Energy</w:t>
            </w:r>
          </w:p>
        </w:tc>
        <w:tc>
          <w:tcPr>
            <w:tcW w:w="10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sz w:val="16"/>
              </w:rPr>
            </w:pPr>
            <w:r>
              <w:rPr>
                <w:b/>
                <w:sz w:val="16"/>
              </w:rPr>
              <w:t>Penalty within Dead-band</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sz w:val="16"/>
              </w:rPr>
            </w:pPr>
            <w:r>
              <w:rPr>
                <w:b/>
                <w:sz w:val="16"/>
              </w:rPr>
              <w:t>Over-generation Charges</w:t>
            </w:r>
          </w:p>
        </w:tc>
        <w:tc>
          <w:tcPr>
            <w:tcW w:w="15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sz w:val="16"/>
              </w:rPr>
            </w:pPr>
            <w:r>
              <w:rPr>
                <w:b/>
                <w:sz w:val="16"/>
              </w:rPr>
              <w:t>Under-generation Charges</w:t>
            </w:r>
          </w:p>
        </w:tc>
        <w:tc>
          <w:tcPr>
            <w:tcW w:w="1547"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sz w:val="16"/>
              </w:rPr>
            </w:pPr>
            <w:r>
              <w:rPr>
                <w:b/>
                <w:sz w:val="16"/>
              </w:rPr>
              <w:t>Notes</w:t>
            </w:r>
          </w:p>
        </w:tc>
      </w:tr>
      <w:tr>
        <w:trPr/>
        <w:tc>
          <w:tcPr>
            <w:tcW w:w="9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center"/>
              <w:rPr>
                <w:b/>
                <w:sz w:val="16"/>
              </w:rPr>
            </w:pPr>
            <w:r>
              <w:rPr>
                <w:b/>
                <w:sz w:val="16"/>
              </w:rPr>
            </w:r>
          </w:p>
          <w:p>
            <w:pPr>
              <w:pStyle w:val="Header"/>
              <w:tabs>
                <w:tab w:val="clear" w:pos="4320"/>
                <w:tab w:val="clear" w:pos="8640"/>
              </w:tabs>
              <w:jc w:val="center"/>
              <w:rPr>
                <w:sz w:val="16"/>
              </w:rPr>
            </w:pPr>
            <w:r>
              <w:rPr>
                <w:sz w:val="16"/>
              </w:rPr>
              <w:t>ERCOT</w:t>
            </w:r>
          </w:p>
        </w:tc>
        <w:tc>
          <w:tcPr>
            <w:tcW w:w="20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6"/>
              </w:rPr>
            </w:pPr>
            <w:r>
              <w:rPr>
                <w:sz w:val="16"/>
              </w:rPr>
              <w:t>±1.5% of QSE Schedules + instructions</w:t>
            </w:r>
          </w:p>
          <w:p>
            <w:pPr>
              <w:pStyle w:val="Header"/>
              <w:tabs>
                <w:tab w:val="clear" w:pos="4320"/>
                <w:tab w:val="clear" w:pos="8640"/>
              </w:tabs>
              <w:rPr>
                <w:sz w:val="16"/>
              </w:rPr>
            </w:pPr>
            <w:r>
              <w:rPr>
                <w:sz w:val="16"/>
              </w:rPr>
              <w:t>±5.0 MW of expected interval generation</w:t>
            </w:r>
          </w:p>
        </w:tc>
        <w:tc>
          <w:tcPr>
            <w:tcW w:w="10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center"/>
              <w:rPr>
                <w:sz w:val="16"/>
              </w:rPr>
            </w:pPr>
            <w:r>
              <w:rPr>
                <w:sz w:val="16"/>
              </w:rPr>
            </w:r>
          </w:p>
          <w:p>
            <w:pPr>
              <w:pStyle w:val="Header"/>
              <w:tabs>
                <w:tab w:val="clear" w:pos="4320"/>
                <w:tab w:val="clear" w:pos="8640"/>
              </w:tabs>
              <w:jc w:val="center"/>
              <w:rPr>
                <w:sz w:val="16"/>
              </w:rPr>
            </w:pPr>
            <w:r>
              <w:rPr>
                <w:sz w:val="16"/>
              </w:rPr>
              <w:t>N/A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6"/>
              </w:rPr>
            </w:pPr>
            <w:r>
              <w:rPr>
                <w:sz w:val="16"/>
              </w:rPr>
              <w:t>Graduated up to 100%, depending on system conditions</w:t>
            </w:r>
          </w:p>
        </w:tc>
        <w:tc>
          <w:tcPr>
            <w:tcW w:w="15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6"/>
              </w:rPr>
            </w:pPr>
            <w:r>
              <w:rPr>
                <w:sz w:val="16"/>
              </w:rPr>
              <w:t>Graduated up to 100%, depending on system conditions</w:t>
            </w:r>
          </w:p>
        </w:tc>
        <w:tc>
          <w:tcPr>
            <w:tcW w:w="1547"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6"/>
              </w:rPr>
            </w:pPr>
            <w:r>
              <w:rPr>
                <w:sz w:val="16"/>
              </w:rPr>
              <w:t>Dead-band may be reduced to ±1%, ±3% day ahead if ERCOT sees that “price chasing” exists.</w:t>
            </w:r>
          </w:p>
        </w:tc>
      </w:tr>
      <w:tr>
        <w:trPr/>
        <w:tc>
          <w:tcPr>
            <w:tcW w:w="9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6"/>
              </w:rPr>
            </w:pPr>
            <w:r>
              <w:rPr>
                <w:sz w:val="16"/>
              </w:rPr>
              <w:t>PJM</w:t>
            </w:r>
          </w:p>
        </w:tc>
        <w:tc>
          <w:tcPr>
            <w:tcW w:w="20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6"/>
              </w:rPr>
            </w:pPr>
            <w:r>
              <w:rPr>
                <w:sz w:val="16"/>
              </w:rPr>
              <w:t>No Dead-band</w:t>
            </w:r>
          </w:p>
        </w:tc>
        <w:tc>
          <w:tcPr>
            <w:tcW w:w="10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center"/>
              <w:rPr>
                <w:sz w:val="16"/>
              </w:rPr>
            </w:pPr>
            <w:r>
              <w:rPr>
                <w:sz w:val="16"/>
              </w:rPr>
            </w:r>
          </w:p>
          <w:p>
            <w:pPr>
              <w:pStyle w:val="Header"/>
              <w:tabs>
                <w:tab w:val="clear" w:pos="4320"/>
                <w:tab w:val="clear" w:pos="8640"/>
              </w:tabs>
              <w:jc w:val="center"/>
              <w:rPr>
                <w:sz w:val="16"/>
              </w:rPr>
            </w:pPr>
            <w:r>
              <w:rPr>
                <w:sz w:val="16"/>
              </w:rPr>
              <w:t>N/A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6"/>
              </w:rPr>
            </w:pPr>
            <w:r>
              <w:rPr>
                <w:sz w:val="16"/>
              </w:rPr>
              <w:t>N/A for network service</w:t>
            </w:r>
          </w:p>
        </w:tc>
        <w:tc>
          <w:tcPr>
            <w:tcW w:w="15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6"/>
              </w:rPr>
            </w:pPr>
            <w:r>
              <w:rPr>
                <w:sz w:val="16"/>
              </w:rPr>
              <w:t>N/A for network service</w:t>
            </w:r>
          </w:p>
        </w:tc>
        <w:tc>
          <w:tcPr>
            <w:tcW w:w="1547"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6"/>
              </w:rPr>
            </w:pPr>
            <w:r>
              <w:rPr>
                <w:sz w:val="16"/>
              </w:rPr>
              <w:t>Penalty for schedules point-to-point MWh deviations, ±1.5% (±2 MW) band</w:t>
            </w:r>
          </w:p>
        </w:tc>
      </w:tr>
      <w:tr>
        <w:trPr/>
        <w:tc>
          <w:tcPr>
            <w:tcW w:w="9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6"/>
              </w:rPr>
            </w:pPr>
            <w:r>
              <w:rPr>
                <w:sz w:val="16"/>
              </w:rPr>
              <w:t>ISO - NE</w:t>
            </w:r>
          </w:p>
        </w:tc>
        <w:tc>
          <w:tcPr>
            <w:tcW w:w="20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6"/>
              </w:rPr>
            </w:pPr>
            <w:r>
              <w:rPr>
                <w:sz w:val="16"/>
              </w:rPr>
              <w:t>(Under-generation only)</w:t>
            </w:r>
          </w:p>
          <w:p>
            <w:pPr>
              <w:pStyle w:val="Header"/>
              <w:tabs>
                <w:tab w:val="clear" w:pos="4320"/>
                <w:tab w:val="clear" w:pos="8640"/>
              </w:tabs>
              <w:rPr>
                <w:sz w:val="16"/>
              </w:rPr>
            </w:pPr>
            <w:r>
              <w:rPr>
                <w:sz w:val="16"/>
              </w:rPr>
              <w:t xml:space="preserve">2.5% of claimed capacity or any deviation &gt; 10 MW </w:t>
            </w:r>
          </w:p>
          <w:p>
            <w:pPr>
              <w:pStyle w:val="Header"/>
              <w:tabs>
                <w:tab w:val="clear" w:pos="4320"/>
                <w:tab w:val="clear" w:pos="8640"/>
              </w:tabs>
              <w:rPr>
                <w:sz w:val="16"/>
              </w:rPr>
            </w:pPr>
            <w:r>
              <w:rPr>
                <w:sz w:val="16"/>
              </w:rPr>
              <w:t xml:space="preserve">Also must be &gt; 1 MW </w:t>
            </w:r>
          </w:p>
        </w:tc>
        <w:tc>
          <w:tcPr>
            <w:tcW w:w="10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center"/>
              <w:rPr>
                <w:sz w:val="16"/>
              </w:rPr>
            </w:pPr>
            <w:r>
              <w:rPr>
                <w:sz w:val="16"/>
              </w:rPr>
            </w:r>
          </w:p>
          <w:p>
            <w:pPr>
              <w:pStyle w:val="Header"/>
              <w:tabs>
                <w:tab w:val="clear" w:pos="4320"/>
                <w:tab w:val="clear" w:pos="8640"/>
              </w:tabs>
              <w:jc w:val="center"/>
              <w:rPr>
                <w:sz w:val="16"/>
              </w:rPr>
            </w:pPr>
            <w:r>
              <w:rPr>
                <w:sz w:val="16"/>
              </w:rPr>
              <w:t>N/A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center"/>
              <w:rPr>
                <w:sz w:val="16"/>
              </w:rPr>
            </w:pPr>
            <w:r>
              <w:rPr>
                <w:sz w:val="16"/>
              </w:rPr>
            </w:r>
          </w:p>
          <w:p>
            <w:pPr>
              <w:pStyle w:val="Header"/>
              <w:tabs>
                <w:tab w:val="clear" w:pos="4320"/>
                <w:tab w:val="clear" w:pos="8640"/>
              </w:tabs>
              <w:jc w:val="center"/>
              <w:rPr>
                <w:sz w:val="16"/>
              </w:rPr>
            </w:pPr>
            <w:r>
              <w:rPr>
                <w:sz w:val="16"/>
              </w:rPr>
              <w:t>Sanctions</w:t>
            </w:r>
          </w:p>
        </w:tc>
        <w:tc>
          <w:tcPr>
            <w:tcW w:w="15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6"/>
              </w:rPr>
            </w:pPr>
            <w:r>
              <w:rPr>
                <w:sz w:val="16"/>
              </w:rPr>
              <w:t>Forfeit of all TMSR, TMNSR and TMOR payments for deviation period</w:t>
            </w:r>
          </w:p>
        </w:tc>
        <w:tc>
          <w:tcPr>
            <w:tcW w:w="1547"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6"/>
              </w:rPr>
            </w:pPr>
            <w:r>
              <w:rPr>
                <w:sz w:val="16"/>
              </w:rPr>
              <w:t>Failure to provide services in real-time: Admin. Penalty = $1000/event; + Formula penalty = 50% of ECP</w:t>
            </w:r>
          </w:p>
        </w:tc>
      </w:tr>
      <w:tr>
        <w:trPr/>
        <w:tc>
          <w:tcPr>
            <w:tcW w:w="9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6"/>
              </w:rPr>
            </w:pPr>
            <w:r>
              <w:rPr>
                <w:sz w:val="16"/>
              </w:rPr>
              <w:t>NYISO</w:t>
            </w:r>
          </w:p>
        </w:tc>
        <w:tc>
          <w:tcPr>
            <w:tcW w:w="20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6"/>
              </w:rPr>
            </w:pPr>
            <w:r>
              <w:rPr>
                <w:sz w:val="16"/>
              </w:rPr>
              <w:t>Lesser of ±3% of unit upper operating limit or three times unit response rate</w:t>
            </w:r>
          </w:p>
        </w:tc>
        <w:tc>
          <w:tcPr>
            <w:tcW w:w="10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6"/>
              </w:rPr>
            </w:pPr>
            <w:r>
              <w:rPr>
                <w:sz w:val="16"/>
              </w:rPr>
              <w:t>N/A</w:t>
            </w:r>
          </w:p>
          <w:p>
            <w:pPr>
              <w:pStyle w:val="Header"/>
              <w:tabs>
                <w:tab w:val="clear" w:pos="4320"/>
                <w:tab w:val="clear" w:pos="8640"/>
              </w:tabs>
              <w:jc w:val="center"/>
              <w:rPr>
                <w:sz w:val="16"/>
              </w:rPr>
            </w:pPr>
            <w:r>
              <w:rPr>
                <w:sz w:val="16"/>
              </w:rPr>
              <w:t>Paid / Charged LBMP</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6"/>
              </w:rPr>
            </w:pPr>
            <w:r>
              <w:rPr>
                <w:sz w:val="16"/>
              </w:rPr>
              <w:t>100%</w:t>
            </w:r>
          </w:p>
          <w:p>
            <w:pPr>
              <w:pStyle w:val="Header"/>
              <w:tabs>
                <w:tab w:val="clear" w:pos="4320"/>
                <w:tab w:val="clear" w:pos="8640"/>
              </w:tabs>
              <w:jc w:val="center"/>
              <w:rPr>
                <w:sz w:val="16"/>
              </w:rPr>
            </w:pPr>
            <w:r>
              <w:rPr>
                <w:sz w:val="16"/>
              </w:rPr>
              <w:t>(No payment for gen above dead-band.  No charge during reserve deficiencies)</w:t>
            </w:r>
          </w:p>
        </w:tc>
        <w:tc>
          <w:tcPr>
            <w:tcW w:w="15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pPr>
            <w:r>
              <w:rPr>
                <w:sz w:val="16"/>
              </w:rPr>
              <w:t>MCP</w:t>
            </w:r>
            <w:r>
              <w:rPr>
                <w:sz w:val="16"/>
                <w:vertAlign w:val="subscript"/>
              </w:rPr>
              <w:t>reg</w:t>
            </w:r>
            <w:r>
              <w:rPr>
                <w:sz w:val="16"/>
              </w:rPr>
              <w:t xml:space="preserve"> x under-generated MW</w:t>
            </w:r>
          </w:p>
        </w:tc>
        <w:tc>
          <w:tcPr>
            <w:tcW w:w="1547"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6"/>
              </w:rPr>
            </w:pPr>
            <w:r>
              <w:rPr>
                <w:sz w:val="16"/>
              </w:rPr>
              <w:t>NYISO reserves the right to change dead-band as needed</w:t>
            </w:r>
          </w:p>
        </w:tc>
      </w:tr>
    </w:tbl>
    <w:p>
      <w:pPr>
        <w:pStyle w:val="Normal"/>
        <w:jc w:val="both"/>
        <w:rPr>
          <w:rFonts w:ascii="Arial" w:hAnsi="Arial" w:cs="Arial"/>
          <w:sz w:val="22"/>
        </w:rPr>
      </w:pPr>
      <w:r>
        <w:rPr>
          <w:rFonts w:cs="Arial" w:ascii="Arial" w:hAnsi="Arial"/>
          <w:sz w:val="22"/>
        </w:rPr>
        <w:t xml:space="preserve">PJM has the least amount of additional charge to discourage uninstructed deviations.   For network service customers there are no additional charges beyond the replacement cost of energy as is determined by the locational market-clearing price.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For all the other ISOs (ERCOT, ISO-NE, and NYISO) there are some additional charges that assessed for generators undertaking uninstructed deviations.   ERCOT measures deviations on the net Qualified Scheduling Entity (QSE) basis, which would be similar to a Scheduling Coordinator at the ISO.     ISO-NE and NYISO assess the uninstructed deviation charges on a resource specific basis.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ERCOT attempted to only assess deviation charges when uninstructed deviations caused or contributed to problematic system conditions by looking at the aggregate deviation from schedule on the resources providing regulation.  NYISO does something a similar by relaxing positive deviation charges when there is a system reserve deficiency.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All of the ISOs have a tolerance bandwidth for uninstructed deviations.   The tolerances range from ±1.5% on a net QSE basis for ERCOT to ±3% on an individual resource basis.   Most of the ISOs make accommodation for resources that are on regulation, or are constrained.  </w:t>
      </w:r>
    </w:p>
    <w:p>
      <w:pPr>
        <w:pStyle w:val="Header"/>
        <w:tabs>
          <w:tab w:val="clear" w:pos="4320"/>
          <w:tab w:val="clear" w:pos="8640"/>
        </w:tabs>
        <w:jc w:val="both"/>
        <w:rPr>
          <w:rFonts w:ascii="Arial" w:hAnsi="Arial" w:cs="Arial"/>
          <w:b/>
          <w:sz w:val="22"/>
        </w:rPr>
      </w:pPr>
      <w:r>
        <w:rPr>
          <w:rFonts w:cs="Arial"/>
          <w:b/>
          <w:sz w:val="22"/>
        </w:rPr>
      </w:r>
    </w:p>
    <w:p>
      <w:pPr>
        <w:pStyle w:val="Header"/>
        <w:tabs>
          <w:tab w:val="clear" w:pos="4320"/>
          <w:tab w:val="clear" w:pos="8640"/>
        </w:tabs>
        <w:jc w:val="both"/>
        <w:rPr>
          <w:b/>
        </w:rPr>
      </w:pPr>
      <w:r>
        <w:rPr>
          <w:b/>
        </w:rPr>
        <w:t>ISO PROPOSAL</w:t>
      </w:r>
    </w:p>
    <w:p>
      <w:pPr>
        <w:pStyle w:val="Header"/>
        <w:tabs>
          <w:tab w:val="clear" w:pos="4320"/>
          <w:tab w:val="clear" w:pos="8640"/>
        </w:tabs>
        <w:jc w:val="both"/>
        <w:rPr>
          <w:b/>
        </w:rPr>
      </w:pPr>
      <w:r>
        <w:rPr>
          <w:b/>
        </w:rPr>
      </w:r>
    </w:p>
    <w:p>
      <w:pPr>
        <w:pStyle w:val="Header"/>
        <w:tabs>
          <w:tab w:val="clear" w:pos="4320"/>
          <w:tab w:val="clear" w:pos="8640"/>
        </w:tabs>
        <w:jc w:val="both"/>
        <w:rPr/>
      </w:pPr>
      <w:r>
        <w:rPr/>
        <w:t>The ISO proposal regarding Uninstructed Deviations are summarized in the table 3, below:</w:t>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center"/>
        <w:rPr>
          <w:b/>
        </w:rPr>
      </w:pPr>
      <w:r>
        <w:rPr>
          <w:b/>
        </w:rPr>
        <w:t>Table 3</w:t>
      </w:r>
    </w:p>
    <w:p>
      <w:pPr>
        <w:pStyle w:val="Header"/>
        <w:tabs>
          <w:tab w:val="clear" w:pos="4320"/>
          <w:tab w:val="clear" w:pos="8640"/>
        </w:tabs>
        <w:jc w:val="center"/>
        <w:rPr>
          <w:b/>
        </w:rPr>
      </w:pPr>
      <w:r>
        <w:rPr>
          <w:b/>
        </w:rPr>
        <w:t>CAISO Proposal</w:t>
      </w:r>
    </w:p>
    <w:p>
      <w:pPr>
        <w:pStyle w:val="Header"/>
        <w:tabs>
          <w:tab w:val="clear" w:pos="4320"/>
          <w:tab w:val="clear" w:pos="8640"/>
        </w:tabs>
        <w:jc w:val="both"/>
        <w:rPr>
          <w:b/>
        </w:rPr>
      </w:pPr>
      <w:r>
        <w:rPr>
          <w:b/>
        </w:rPr>
      </w:r>
    </w:p>
    <w:tbl>
      <w:tblPr>
        <w:tblW w:w="7380" w:type="dxa"/>
        <w:jc w:val="start"/>
        <w:tblInd w:w="828" w:type="dxa"/>
        <w:tblLayout w:type="fixed"/>
        <w:tblCellMar>
          <w:top w:w="0" w:type="dxa"/>
          <w:start w:w="108" w:type="dxa"/>
          <w:bottom w:w="0" w:type="dxa"/>
          <w:end w:w="108" w:type="dxa"/>
        </w:tblCellMar>
      </w:tblPr>
      <w:tblGrid>
        <w:gridCol w:w="3600"/>
        <w:gridCol w:w="3780"/>
      </w:tblGrid>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b/>
                <w:sz w:val="20"/>
              </w:rPr>
            </w:pPr>
            <w:r>
              <w:rPr>
                <w:b/>
                <w:sz w:val="20"/>
              </w:rPr>
              <w:t>Issue</w:t>
            </w:r>
          </w:p>
        </w:tc>
        <w:tc>
          <w:tcPr>
            <w:tcW w:w="37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b/>
                <w:sz w:val="20"/>
              </w:rPr>
            </w:pPr>
            <w:r>
              <w:rPr>
                <w:b/>
                <w:sz w:val="20"/>
              </w:rPr>
              <w:t>Recommendation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Market Clearing Price</w:t>
            </w:r>
          </w:p>
        </w:tc>
        <w:tc>
          <w:tcPr>
            <w:tcW w:w="37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A single market clearing price</w:t>
            </w:r>
          </w:p>
        </w:tc>
      </w:tr>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ISO Dispatch Instructions</w:t>
            </w:r>
          </w:p>
        </w:tc>
        <w:tc>
          <w:tcPr>
            <w:tcW w:w="37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The ISO will issue unit-specific “go-to” instructions</w:t>
            </w:r>
          </w:p>
        </w:tc>
      </w:tr>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Settlement Interval</w:t>
            </w:r>
          </w:p>
        </w:tc>
        <w:tc>
          <w:tcPr>
            <w:tcW w:w="37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10-minutes</w:t>
            </w:r>
          </w:p>
        </w:tc>
      </w:tr>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Dead-band</w:t>
            </w:r>
          </w:p>
        </w:tc>
        <w:tc>
          <w:tcPr>
            <w:tcW w:w="37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The greater of ±3% of the instruction or ±3 MW from the instruction.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Payment for deviations within the dead-band</w:t>
            </w:r>
          </w:p>
        </w:tc>
        <w:tc>
          <w:tcPr>
            <w:tcW w:w="37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 xml:space="preserve">Over-generation will be paid 100% of the market-clearing price.  Under-generation will be charged 100% of the market-clearing price.  No penalties will be assessed.  </w:t>
            </w:r>
          </w:p>
        </w:tc>
      </w:tr>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Settlement of Deviations</w:t>
            </w:r>
          </w:p>
        </w:tc>
        <w:tc>
          <w:tcPr>
            <w:tcW w:w="37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Unit Specific</w:t>
            </w:r>
          </w:p>
        </w:tc>
      </w:tr>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Positive Deviations</w:t>
            </w:r>
          </w:p>
        </w:tc>
        <w:tc>
          <w:tcPr>
            <w:tcW w:w="37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Generation above instructions and outside the dead-band will not be paid.</w:t>
            </w:r>
          </w:p>
        </w:tc>
      </w:tr>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Negative Deviations</w:t>
            </w:r>
          </w:p>
        </w:tc>
        <w:tc>
          <w:tcPr>
            <w:tcW w:w="37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Generation below instruction and outside the dead-band will be paid at 75% of the market-clearing price.</w:t>
            </w:r>
          </w:p>
        </w:tc>
      </w:tr>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Accommodation of regulation and constrained resources</w:t>
            </w:r>
          </w:p>
        </w:tc>
        <w:tc>
          <w:tcPr>
            <w:tcW w:w="37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Units “constrained on” or providing regulation will be accommodated.</w:t>
            </w:r>
          </w:p>
        </w:tc>
      </w:tr>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Accommodation of Metered Sub-Systems and self-served loads</w:t>
            </w:r>
          </w:p>
        </w:tc>
        <w:tc>
          <w:tcPr>
            <w:tcW w:w="37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To be determined as part of ongoing market participant discussions</w:t>
            </w:r>
          </w:p>
        </w:tc>
      </w:tr>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487 Charges</w:t>
            </w:r>
          </w:p>
        </w:tc>
        <w:tc>
          <w:tcPr>
            <w:tcW w:w="37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20"/>
              </w:rPr>
            </w:pPr>
            <w:r>
              <w:rPr>
                <w:sz w:val="20"/>
              </w:rPr>
              <w:t xml:space="preserve">These charges are offset if the unit’s physical incapability to deliver status is reported to the ISO, and the SC has bids in the ISO market equal to the negative deviation MW.   </w:t>
            </w:r>
          </w:p>
        </w:tc>
      </w:tr>
    </w:tbl>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b/>
        </w:rPr>
      </w:pPr>
      <w:r>
        <w:rPr>
          <w:b/>
        </w:rPr>
        <w:t>DISCUSSION OF PROPOSAL</w:t>
      </w:r>
    </w:p>
    <w:p>
      <w:pPr>
        <w:pStyle w:val="Header"/>
        <w:tabs>
          <w:tab w:val="clear" w:pos="4320"/>
          <w:tab w:val="clear" w:pos="8640"/>
        </w:tabs>
        <w:jc w:val="both"/>
        <w:rPr>
          <w:b/>
        </w:rPr>
      </w:pPr>
      <w:r>
        <w:rPr>
          <w:b/>
        </w:rPr>
      </w:r>
    </w:p>
    <w:p>
      <w:pPr>
        <w:pStyle w:val="Header"/>
        <w:tabs>
          <w:tab w:val="clear" w:pos="4320"/>
          <w:tab w:val="clear" w:pos="8640"/>
        </w:tabs>
        <w:jc w:val="both"/>
        <w:rPr/>
      </w:pPr>
      <w:r>
        <w:rPr/>
        <w:t xml:space="preserve">The ISO is responsible for assuring reliability of the high voltage network.  The ISO has difficulty satisfying its responsibility for reliability because of a high degree of deviations from the ISO’s dispatch instructions.  The purpose of the Uninstructed Deviation charge is to assist the ISO in assuring reliability by improving the ISO’s control by providing an incentive to generators to comply with dispatch instructions.  </w:t>
      </w:r>
    </w:p>
    <w:p>
      <w:pPr>
        <w:pStyle w:val="Header"/>
        <w:tabs>
          <w:tab w:val="clear" w:pos="4320"/>
          <w:tab w:val="clear" w:pos="8640"/>
        </w:tabs>
        <w:jc w:val="both"/>
        <w:rPr/>
      </w:pPr>
      <w:r>
        <w:rPr/>
      </w:r>
    </w:p>
    <w:p>
      <w:pPr>
        <w:pStyle w:val="Header"/>
        <w:tabs>
          <w:tab w:val="clear" w:pos="4320"/>
          <w:tab w:val="clear" w:pos="8640"/>
        </w:tabs>
        <w:jc w:val="both"/>
        <w:rPr/>
      </w:pPr>
      <w:r>
        <w:rPr/>
        <w:t>In developing the proposal the ISO wanted to design a system that allowed generator required flexibility to meet realistic operational requirements, provided appropriate incentives for compliance with schedules, and is consistent with the practices of other ISOs presently in operation.   While there is no exact match between the CAISO  and other ISO’s market design, the ISO wanted to insure  that its approach was in line with other market designs.</w:t>
      </w:r>
    </w:p>
    <w:p>
      <w:pPr>
        <w:pStyle w:val="Header"/>
        <w:tabs>
          <w:tab w:val="clear" w:pos="4320"/>
          <w:tab w:val="clear" w:pos="8640"/>
        </w:tabs>
        <w:jc w:val="both"/>
        <w:rPr/>
      </w:pPr>
      <w:r>
        <w:rPr/>
      </w:r>
    </w:p>
    <w:p>
      <w:pPr>
        <w:pStyle w:val="Header"/>
        <w:tabs>
          <w:tab w:val="clear" w:pos="4320"/>
          <w:tab w:val="clear" w:pos="8640"/>
        </w:tabs>
        <w:jc w:val="both"/>
        <w:rPr/>
      </w:pPr>
      <w:r>
        <w:rPr/>
        <w:t xml:space="preserve">The ISO has proposed that compliance with dispatch instructions include an acceptable bandwidth, also known as a dead-band, in which charges for deviation will not be assessed.  Several methods for establishing the dead-band were considered.  Among these were the controllability of various types of generators, the accuracy of meters and telemetry, and a margin in which settlements are made easier.  Ultimately, it was determined that generators should be able to comply with dispatch instructions within ±3% of the instruction, or within ±3 MW, whichever is greater.  </w:t>
      </w:r>
    </w:p>
    <w:p>
      <w:pPr>
        <w:pStyle w:val="Header"/>
        <w:tabs>
          <w:tab w:val="clear" w:pos="4320"/>
          <w:tab w:val="clear" w:pos="8640"/>
        </w:tabs>
        <w:jc w:val="both"/>
        <w:rPr/>
      </w:pPr>
      <w:r>
        <w:rPr/>
      </w:r>
    </w:p>
    <w:p>
      <w:pPr>
        <w:pStyle w:val="Header"/>
        <w:tabs>
          <w:tab w:val="clear" w:pos="4320"/>
          <w:tab w:val="clear" w:pos="8640"/>
        </w:tabs>
        <w:jc w:val="both"/>
        <w:rPr/>
      </w:pPr>
      <w:r>
        <w:rPr/>
        <w:t xml:space="preserve">For generation above instructed levels and outside the dead-band, no compensation will be provided by the ISO.  Generators providing energy that is neither required nor requested will not be rewarded for this deviation..  For generation below instructed levels and outside the dead-band, there will be compensation, but a penalty in the amount of 25% of the hourly Market Clearing Price will be assessed on the energy that was delivered.  The 25% surcharge is believed to be an appropriate incentive for generators to comply with scheduled and instructed dispatches.  While this may seem onerous to some, the CAISO is also proposing a method whereby generators unable to deliver expected energy in real-time may avoid this charge. Together, these charges should provide the incentive to follow dispatch instructions as closely as possible.   One concern expressed is that this structure does not appear to be symmetric, and may discourage positive deviations more than negative deviations.   There were two reasons for this design.  First, positive deviations could be more easily controlled in contrast to negative deviations, which are more subject to unit performance.  Second, negative deviations are also exposed to above market cost that get allocated to an SC’s net negative deviations when allocating charge type 487. </w:t>
      </w:r>
    </w:p>
    <w:p>
      <w:pPr>
        <w:pStyle w:val="Header"/>
        <w:tabs>
          <w:tab w:val="clear" w:pos="4320"/>
          <w:tab w:val="clear" w:pos="8640"/>
        </w:tabs>
        <w:jc w:val="both"/>
        <w:rPr/>
      </w:pPr>
      <w:r>
        <w:rPr/>
      </w:r>
    </w:p>
    <w:p>
      <w:pPr>
        <w:pStyle w:val="Header"/>
        <w:tabs>
          <w:tab w:val="clear" w:pos="4320"/>
          <w:tab w:val="clear" w:pos="8640"/>
        </w:tabs>
        <w:jc w:val="both"/>
        <w:rPr/>
      </w:pPr>
      <w:r>
        <w:rPr/>
        <w:t xml:space="preserve">The treatment of over- and under-generation among the ISOs in the U. S. are mixed.  This particular proposal for over- and under generation by the California ISO most closely matches the methodology of the New York ISO.  </w:t>
      </w:r>
    </w:p>
    <w:p>
      <w:pPr>
        <w:pStyle w:val="Header"/>
        <w:tabs>
          <w:tab w:val="clear" w:pos="4320"/>
          <w:tab w:val="clear" w:pos="8640"/>
        </w:tabs>
        <w:jc w:val="both"/>
        <w:rPr/>
      </w:pPr>
      <w:r>
        <w:rPr/>
      </w:r>
    </w:p>
    <w:p>
      <w:pPr>
        <w:pStyle w:val="Header"/>
        <w:tabs>
          <w:tab w:val="clear" w:pos="4320"/>
          <w:tab w:val="clear" w:pos="8640"/>
        </w:tabs>
        <w:jc w:val="both"/>
        <w:rPr/>
      </w:pPr>
      <w:r>
        <w:rPr/>
        <w:t xml:space="preserve">The ISO’s recommendation is to implement a policy that is unit-specific instead of portfolio-based.  The purpose for this is to increase the ISO’s control with regard to mitigating potential congestion.  Furthermore, the ISO believes that the unit-specific approach will provide more incentive for participants to bid available generation into the BEEP stack.   By allowing portfolio-based uninstructed deviations, the grid would be more vulnerable to congestion that was not anticipated, requiring further ISO intervention.  Other than ERCOT, other ISOs evaluate uninstructed deviations on a unit specific basis.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Just as other ISOs have developed exclusions from uninstructed deviation charges, the ISO is also considering the accommodations that are necessary for the ISO that will exempt may certain resources from uninstructed charges.   Furthermore, the ISO is considering system conditions that might warrant relaxation of uninstructed deviation charges.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Understanding these issues will be one of the goals coming out of the focus group meetings.</w:t>
      </w:r>
    </w:p>
    <w:p>
      <w:pPr>
        <w:pStyle w:val="Header"/>
        <w:tabs>
          <w:tab w:val="clear" w:pos="4320"/>
          <w:tab w:val="clear" w:pos="8640"/>
        </w:tabs>
        <w:jc w:val="both"/>
        <w:rPr>
          <w:rFonts w:ascii="Arial" w:hAnsi="Arial" w:cs="Arial"/>
          <w:sz w:val="22"/>
        </w:rPr>
      </w:pPr>
      <w:r>
        <w:rPr>
          <w:rFonts w:cs="Arial"/>
          <w:sz w:val="22"/>
        </w:rPr>
      </w:r>
    </w:p>
    <w:p>
      <w:pPr>
        <w:pStyle w:val="Header"/>
        <w:tabs>
          <w:tab w:val="clear" w:pos="4320"/>
          <w:tab w:val="clear" w:pos="8640"/>
        </w:tabs>
        <w:jc w:val="both"/>
        <w:rPr/>
      </w:pPr>
      <w:r>
        <w:rPr/>
      </w:r>
      <w:r>
        <w:br w:type="page"/>
      </w:r>
    </w:p>
    <w:p>
      <w:pPr>
        <w:pStyle w:val="Heading"/>
        <w:rPr/>
      </w:pPr>
      <w:r>
        <w:rPr/>
        <w:t>Stakeholder Comments</w:t>
      </w:r>
    </w:p>
    <w:p>
      <w:pPr>
        <w:pStyle w:val="Subtitle"/>
        <w:rPr/>
      </w:pPr>
      <w:r>
        <w:rPr/>
        <w:t>Uninstructed Deviation Pricing</w:t>
      </w:r>
    </w:p>
    <w:p>
      <w:pPr>
        <w:pStyle w:val="Heading1"/>
        <w:ind w:hanging="0" w:start="0"/>
        <w:rPr/>
      </w:pPr>
      <w:r>
        <w:rPr/>
        <w:t xml:space="preserve">October 2, 2001 Stakeholder Meeting </w:t>
      </w:r>
    </w:p>
    <w:p>
      <w:pPr>
        <w:pStyle w:val="ListNumber"/>
        <w:numPr>
          <w:ilvl w:val="0"/>
          <w:numId w:val="2"/>
        </w:numPr>
        <w:ind w:hanging="0" w:start="0"/>
        <w:rPr/>
      </w:pPr>
      <w:r>
        <w:rPr>
          <w:b/>
        </w:rPr>
        <w:t>Consider implementing a portfolio approach for deviations</w:t>
      </w:r>
      <w:r>
        <w:rPr/>
        <w:t xml:space="preserve"> (Williams, FPL Energy, AWEA). This could also include If you choose to move forward with this intolerant approach to real time imbalances, consider allowing an ex-post deviation-trading period in which deviants are allowed to trade imbalances -- thereby gaining value for their generation and allowing some mitigation of risk.</w:t>
      </w:r>
    </w:p>
    <w:p>
      <w:pPr>
        <w:pStyle w:val="ListNumber"/>
        <w:numPr>
          <w:ilvl w:val="0"/>
          <w:numId w:val="2"/>
        </w:numPr>
        <w:ind w:hanging="0" w:start="0"/>
        <w:rPr/>
      </w:pPr>
      <w:r>
        <w:rPr>
          <w:b/>
        </w:rPr>
        <w:t xml:space="preserve">Consider graduating "incentives" </w:t>
      </w:r>
      <w:r>
        <w:rPr/>
        <w:t>(Williams, FPL Energy).</w:t>
      </w:r>
      <w:r>
        <w:rPr>
          <w:b/>
        </w:rPr>
        <w:t xml:space="preserve">    </w:t>
      </w:r>
      <w:r>
        <w:rPr/>
        <w:t>Consider increasing the incentive as you move further from the instructed point.  For example, the ISO could:</w:t>
      </w:r>
    </w:p>
    <w:p>
      <w:pPr>
        <w:pStyle w:val="ListBullet2"/>
        <w:numPr>
          <w:ilvl w:val="0"/>
          <w:numId w:val="3"/>
        </w:numPr>
        <w:rPr/>
      </w:pPr>
      <w:r>
        <w:rPr/>
        <w:t>Implement a +/- 10% tolerance band.  (CAWEA suggests that this tolerance band be +/- 100% for wind generators);</w:t>
      </w:r>
    </w:p>
    <w:p>
      <w:pPr>
        <w:pStyle w:val="ListBullet2"/>
        <w:numPr>
          <w:ilvl w:val="0"/>
          <w:numId w:val="3"/>
        </w:numPr>
        <w:rPr/>
      </w:pPr>
      <w:r>
        <w:rPr/>
        <w:t>Pay positive deviations outside the band 80% of MCP between 10-20% deviation, 70% of MCP between 20-30% deviation etc.</w:t>
      </w:r>
    </w:p>
    <w:p>
      <w:pPr>
        <w:pStyle w:val="ListBullet2"/>
        <w:numPr>
          <w:ilvl w:val="0"/>
          <w:numId w:val="3"/>
        </w:numPr>
        <w:rPr/>
      </w:pPr>
      <w:r>
        <w:rPr/>
        <w:t>Charge negative deviations outside the band 1.2 x MCP between 10%-20% deviation, 1.3 x MCP between 20-30% deviation etc.</w:t>
      </w:r>
    </w:p>
    <w:p>
      <w:pPr>
        <w:pStyle w:val="ListNumber"/>
        <w:numPr>
          <w:ilvl w:val="0"/>
          <w:numId w:val="2"/>
        </w:numPr>
        <w:ind w:hanging="0" w:start="0"/>
        <w:rPr/>
      </w:pPr>
      <w:r>
        <w:rPr>
          <w:b/>
        </w:rPr>
        <w:t>Allow special considerations (exemptions?) for forced outages and derates</w:t>
      </w:r>
      <w:r>
        <w:rPr/>
        <w:t xml:space="preserve"> (Williams, FPL Energy). </w:t>
      </w:r>
    </w:p>
    <w:p>
      <w:pPr>
        <w:pStyle w:val="ListNumber"/>
        <w:numPr>
          <w:ilvl w:val="0"/>
          <w:numId w:val="2"/>
        </w:numPr>
        <w:ind w:hanging="0" w:start="0"/>
        <w:rPr>
          <w:b/>
        </w:rPr>
      </w:pPr>
      <w:r>
        <w:rPr>
          <w:b/>
        </w:rPr>
        <w:t xml:space="preserve">Explain how this proposal would affect the negotiated monthly netting with wind generators </w:t>
      </w:r>
      <w:r>
        <w:rPr/>
        <w:t>(NWEA, CalWEA, FPL Energy)  There is considerable concern that if the ISO implements the continuous clearing proposal, it would undo the arrangement negotiated through the wind generators.</w:t>
      </w:r>
    </w:p>
    <w:p>
      <w:pPr>
        <w:pStyle w:val="ListNumber"/>
        <w:numPr>
          <w:ilvl w:val="0"/>
          <w:numId w:val="2"/>
        </w:numPr>
        <w:ind w:hanging="0" w:start="0"/>
        <w:rPr>
          <w:b/>
        </w:rPr>
      </w:pPr>
      <w:r>
        <w:rPr>
          <w:b/>
        </w:rPr>
        <w:t xml:space="preserve">Quantify the increased instructions that continuous clearing would create </w:t>
      </w:r>
      <w:r>
        <w:rPr/>
        <w:t>(FPL Energy).</w:t>
      </w:r>
      <w:r>
        <w:rPr>
          <w:b/>
        </w:rPr>
        <w:t xml:space="preserve"> </w:t>
      </w:r>
      <w:r>
        <w:rPr/>
        <w:t>Bid strategies may change as a result of the "continuous clearing" market.</w:t>
      </w:r>
      <w:r>
        <w:rPr>
          <w:b/>
        </w:rPr>
        <w:t xml:space="preserve"> </w:t>
      </w:r>
      <w:r>
        <w:rPr/>
        <w:t xml:space="preserve"> Nonetheless, there is no data that would explain the changes in dispatch orders that this new process would drive.  </w:t>
      </w:r>
    </w:p>
    <w:p>
      <w:pPr>
        <w:pStyle w:val="ListNumber"/>
        <w:numPr>
          <w:ilvl w:val="0"/>
          <w:numId w:val="2"/>
        </w:numPr>
        <w:ind w:hanging="0" w:start="0"/>
        <w:rPr>
          <w:b/>
        </w:rPr>
      </w:pPr>
      <w:r>
        <w:rPr>
          <w:b/>
        </w:rPr>
        <w:t xml:space="preserve">Define "dispatchable resources" as it applies to deviation penalties </w:t>
      </w:r>
      <w:r>
        <w:rPr/>
        <w:t>(FPL Energy, CAWEA, NWEA).</w:t>
      </w:r>
      <w:r>
        <w:rPr>
          <w:b/>
        </w:rPr>
        <w:t xml:space="preserve">   </w:t>
      </w:r>
      <w:r>
        <w:rPr/>
        <w:t>The documents indicate that the tolerance band applies to "dispatchable resources".  Please clarify that intermittent resources will be treated differently, including exemptions from the uninstructed deviation incentives for intermittent resources that remain in the imbalance market, and define intermittent resources as wind, solar and run-of-river hydro.</w:t>
      </w:r>
    </w:p>
    <w:p>
      <w:pPr>
        <w:pStyle w:val="ListNumber"/>
        <w:numPr>
          <w:ilvl w:val="0"/>
          <w:numId w:val="2"/>
        </w:numPr>
        <w:ind w:hanging="0" w:start="0"/>
        <w:rPr>
          <w:b/>
        </w:rPr>
      </w:pPr>
      <w:r>
        <w:rPr>
          <w:b/>
        </w:rPr>
        <w:t xml:space="preserve">Clarify the intent of the "incentives" - is this the best approach </w:t>
      </w:r>
      <w:r>
        <w:rPr/>
        <w:t>(FPL Energy, AWEA).</w:t>
      </w:r>
      <w:r>
        <w:rPr>
          <w:b/>
        </w:rPr>
        <w:t xml:space="preserve">   </w:t>
      </w:r>
      <w:r>
        <w:rPr/>
        <w:t>That is, please state clearly the problem that you are trying to address.  Is it non-compliance with supplemental orders?  If so, let's address that with a rifle, not a shotgun. (I'm not sure what this means - BBW.)</w:t>
      </w:r>
    </w:p>
    <w:p>
      <w:pPr>
        <w:pStyle w:val="ListNumber"/>
        <w:numPr>
          <w:ilvl w:val="0"/>
          <w:numId w:val="2"/>
        </w:numPr>
        <w:ind w:hanging="0" w:start="0"/>
        <w:rPr>
          <w:b/>
        </w:rPr>
      </w:pPr>
      <w:r>
        <w:rPr>
          <w:b/>
        </w:rPr>
        <w:t xml:space="preserve">Assessing extremely onerous penalties for all failure to follow “dispatch instructions” is counterproductive </w:t>
      </w:r>
      <w:r>
        <w:rPr/>
        <w:t xml:space="preserve">(NWEA).  Such penalties would force all market participants to withhold reserves from the market just in case they might be needed to balance an impending or potential “uninstructed deviation.”  Some deviations are “good,” some are “bad.” Some deviations are “intentional,” some are “unavoidable.” Some deviations cause harm to the “system” or shift costs onto others, some are inconsequential. Any proposal to police the market must make these distinctions—no matter how difficult it may seem.  </w:t>
      </w:r>
    </w:p>
    <w:p>
      <w:pPr>
        <w:pStyle w:val="ListNumber"/>
        <w:numPr>
          <w:ilvl w:val="0"/>
          <w:numId w:val="2"/>
        </w:numPr>
        <w:ind w:hanging="0" w:start="0"/>
        <w:rPr>
          <w:b/>
        </w:rPr>
      </w:pPr>
      <w:r>
        <w:rPr>
          <w:b/>
        </w:rPr>
        <w:t xml:space="preserve">Define the treatment for load deviations </w:t>
      </w:r>
      <w:r>
        <w:rPr/>
        <w:t>(FPL Energy).</w:t>
      </w:r>
      <w:r>
        <w:rPr>
          <w:b/>
        </w:rPr>
        <w:t xml:space="preserve">    </w:t>
      </w:r>
      <w:r>
        <w:rPr/>
        <w:t>Would the ISO allow</w:t>
      </w:r>
      <w:r>
        <w:rPr>
          <w:b/>
        </w:rPr>
        <w:t xml:space="preserve"> </w:t>
      </w:r>
      <w:r>
        <w:rPr/>
        <w:t>the current 10-minute settlement approach of netting generation and load deviations?  If load faces dissimilar "incentives", what are the potential unintended consequences?  And how are positive (negative) uninstructed load deviations compensated (charged) if there is no complementary generation deviation settlement?  At first blush, it seems like lots of pressure on neutrality.</w:t>
      </w:r>
    </w:p>
    <w:p>
      <w:pPr>
        <w:pStyle w:val="ListNumber"/>
        <w:numPr>
          <w:ilvl w:val="0"/>
          <w:numId w:val="2"/>
        </w:numPr>
        <w:ind w:hanging="0" w:start="0"/>
        <w:rPr/>
      </w:pPr>
      <w:r>
        <w:rPr>
          <w:b/>
        </w:rPr>
        <w:t>Consider specialized penalties such as:</w:t>
      </w:r>
    </w:p>
    <w:p>
      <w:pPr>
        <w:pStyle w:val="ListBullet2"/>
        <w:numPr>
          <w:ilvl w:val="0"/>
          <w:numId w:val="3"/>
        </w:numPr>
        <w:rPr/>
      </w:pPr>
      <w:r>
        <w:rPr/>
        <w:t>imbalance changes that penalize habitual offenders, not occasional or unavoidable deviants</w:t>
      </w:r>
      <w:r>
        <w:rPr>
          <w:b/>
        </w:rPr>
        <w:t xml:space="preserve"> </w:t>
      </w:r>
      <w:r>
        <w:rPr/>
        <w:t>(FPL Energy, AWEA).</w:t>
      </w:r>
      <w:r>
        <w:rPr>
          <w:b/>
        </w:rPr>
        <w:t xml:space="preserve"> </w:t>
      </w:r>
      <w:r>
        <w:rPr/>
        <w:t xml:space="preserve">  Consider some type of increasing "incentive" if deviations (other than unavoidable ones) occur repeatedly.  For instance, if supplemental energy is instructed and accepted, but not delivered, say on 3 occasions in a month, penalize beginning the next failed instruction.</w:t>
      </w:r>
      <w:r>
        <w:rPr>
          <w:b/>
        </w:rPr>
        <w:t xml:space="preserve"> </w:t>
      </w:r>
    </w:p>
    <w:p>
      <w:pPr>
        <w:pStyle w:val="ListBullet2"/>
        <w:numPr>
          <w:ilvl w:val="0"/>
          <w:numId w:val="3"/>
        </w:numPr>
        <w:rPr/>
      </w:pPr>
      <w:r>
        <w:rPr/>
        <w:t>"incentives" only when deviants are moving in undesirable directions</w:t>
      </w:r>
      <w:r>
        <w:rPr>
          <w:b/>
        </w:rPr>
        <w:t xml:space="preserve"> </w:t>
      </w:r>
      <w:r>
        <w:rPr/>
        <w:t>(FPL Energy).</w:t>
      </w:r>
      <w:r>
        <w:rPr>
          <w:b/>
        </w:rPr>
        <w:t xml:space="preserve">    </w:t>
      </w:r>
      <w:r>
        <w:rPr/>
        <w:t>That is, if the ISO is inc-ing, enforce incentives for those below the instructed point and visa-versa.</w:t>
      </w:r>
    </w:p>
    <w:p>
      <w:pPr>
        <w:pStyle w:val="ListNumber"/>
        <w:numPr>
          <w:ilvl w:val="0"/>
          <w:numId w:val="2"/>
        </w:numPr>
        <w:ind w:hanging="0" w:start="0"/>
        <w:rPr>
          <w:b/>
        </w:rPr>
      </w:pPr>
      <w:r>
        <w:rPr>
          <w:b/>
        </w:rPr>
        <w:t xml:space="preserve">Consider asymmetric bands </w:t>
      </w:r>
      <w:r>
        <w:rPr/>
        <w:t>(FPL Energy).</w:t>
      </w:r>
      <w:r>
        <w:rPr>
          <w:b/>
        </w:rPr>
        <w:t xml:space="preserve">     </w:t>
      </w:r>
      <w:r>
        <w:rPr/>
        <w:t>If you move forward with bands, consider a wider band on the dec side.  By the nature of generation operations, all else the same, a plant is more likely to be short than to be long.  This is supported by the asymmetric distribution of CUF described by Phil Pettingill.</w:t>
      </w:r>
    </w:p>
    <w:p>
      <w:pPr>
        <w:pStyle w:val="Heading1"/>
        <w:ind w:hanging="0" w:start="0"/>
        <w:rPr/>
      </w:pPr>
      <w:r>
        <w:rPr/>
        <w:t>October 11 Market Issues Forum</w:t>
      </w:r>
    </w:p>
    <w:p>
      <w:pPr>
        <w:pStyle w:val="Heading2"/>
        <w:ind w:hanging="0" w:start="0"/>
        <w:rPr/>
      </w:pPr>
      <w:r>
        <w:rPr/>
        <w:t>Current ISO Thinking on Certain Design Elements</w:t>
      </w:r>
    </w:p>
    <w:p>
      <w:pPr>
        <w:pStyle w:val="ListBullet"/>
        <w:numPr>
          <w:ilvl w:val="0"/>
          <w:numId w:val="3"/>
        </w:numPr>
        <w:ind w:hanging="0" w:start="0"/>
        <w:rPr/>
      </w:pPr>
      <w:r>
        <w:rPr/>
        <w:t xml:space="preserve">leaning toward a portfolio approach for deviations, but recognize the question as to how we could ensure unit-specific movement when necessary.  </w:t>
      </w:r>
    </w:p>
    <w:p>
      <w:pPr>
        <w:pStyle w:val="ListBullet"/>
        <w:numPr>
          <w:ilvl w:val="0"/>
          <w:numId w:val="3"/>
        </w:numPr>
        <w:ind w:hanging="0" w:start="0"/>
        <w:rPr/>
      </w:pPr>
      <w:r>
        <w:rPr/>
        <w:t>considering a tighter dead band (perhaps 3%) if we adopt a portfolio approach.</w:t>
      </w:r>
    </w:p>
    <w:p>
      <w:pPr>
        <w:pStyle w:val="ListBullet"/>
        <w:numPr>
          <w:ilvl w:val="0"/>
          <w:numId w:val="3"/>
        </w:numPr>
        <w:ind w:hanging="0" w:start="0"/>
        <w:rPr/>
      </w:pPr>
      <w:r>
        <w:rPr/>
        <w:t>if an SC is outside of the deviation band, all deviations would be subject to the penalty.</w:t>
      </w:r>
    </w:p>
    <w:p>
      <w:pPr>
        <w:pStyle w:val="Heading2"/>
        <w:ind w:hanging="0" w:start="0"/>
        <w:rPr/>
      </w:pPr>
      <w:r>
        <w:rPr/>
        <w:t>Stakeholder Comments</w:t>
      </w:r>
    </w:p>
    <w:p>
      <w:pPr>
        <w:pStyle w:val="ListBullet"/>
        <w:numPr>
          <w:ilvl w:val="0"/>
          <w:numId w:val="3"/>
        </w:numPr>
        <w:ind w:hanging="0" w:start="0"/>
        <w:rPr/>
      </w:pPr>
      <w:r>
        <w:rPr/>
        <w:t>Implement a tiered approach to penalties outside of the dead band.  This  will help to mitigate the risk and resulting prices.  Otherwise, sellers may tie all offers to the mitigated price to compensate for risk.  (Mirant)</w:t>
      </w:r>
    </w:p>
    <w:p>
      <w:pPr>
        <w:pStyle w:val="ListBullet"/>
        <w:numPr>
          <w:ilvl w:val="0"/>
          <w:numId w:val="3"/>
        </w:numPr>
        <w:ind w:hanging="0" w:start="0"/>
        <w:rPr/>
      </w:pPr>
      <w:r>
        <w:rPr/>
        <w:t>Implement a wider dead band for units, but tighter band for portfolios (NCPA)</w:t>
      </w:r>
    </w:p>
    <w:p>
      <w:pPr>
        <w:pStyle w:val="ListBullet"/>
        <w:numPr>
          <w:ilvl w:val="0"/>
          <w:numId w:val="3"/>
        </w:numPr>
        <w:ind w:hanging="0" w:start="0"/>
        <w:rPr/>
      </w:pPr>
      <w:r>
        <w:rPr/>
        <w:t>Implement an hourly market for settling energy (NCPA)</w:t>
      </w:r>
    </w:p>
    <w:p>
      <w:pPr>
        <w:pStyle w:val="ListBullet"/>
        <w:numPr>
          <w:ilvl w:val="0"/>
          <w:numId w:val="3"/>
        </w:numPr>
        <w:ind w:hanging="0" w:start="0"/>
        <w:rPr/>
      </w:pPr>
      <w:r>
        <w:rPr/>
        <w:t xml:space="preserve">SCs should get paid for deviations within the band (NCPA, SCPPA, Phoenix Consulting, Mirant).  Otherwise, </w:t>
      </w:r>
    </w:p>
    <w:p>
      <w:pPr>
        <w:pStyle w:val="ListBullet2"/>
        <w:numPr>
          <w:ilvl w:val="0"/>
          <w:numId w:val="3"/>
        </w:numPr>
        <w:rPr/>
      </w:pPr>
      <w:r>
        <w:rPr/>
        <w:t>GMMs could jerk you into not getting paid;</w:t>
      </w:r>
    </w:p>
    <w:p>
      <w:pPr>
        <w:pStyle w:val="ListBullet2"/>
        <w:numPr>
          <w:ilvl w:val="0"/>
          <w:numId w:val="3"/>
        </w:numPr>
        <w:rPr/>
      </w:pPr>
      <w:r>
        <w:rPr/>
        <w:t>SCs with only one unit (no portfolio) would get slammed.</w:t>
      </w:r>
    </w:p>
    <w:p>
      <w:pPr>
        <w:pStyle w:val="ListBullet"/>
        <w:numPr>
          <w:ilvl w:val="0"/>
          <w:numId w:val="3"/>
        </w:numPr>
        <w:ind w:hanging="0" w:start="0"/>
        <w:rPr/>
      </w:pPr>
      <w:r>
        <w:rPr/>
        <w:t>Any penalties:</w:t>
      </w:r>
    </w:p>
    <w:p>
      <w:pPr>
        <w:pStyle w:val="ListBullet2"/>
        <w:numPr>
          <w:ilvl w:val="0"/>
          <w:numId w:val="3"/>
        </w:numPr>
        <w:rPr/>
      </w:pPr>
      <w:r>
        <w:rPr/>
        <w:t>should be based on a portfolio approach, rather than unit-specific  (Enron, SCD Energy Solutions, NCPA).</w:t>
      </w:r>
    </w:p>
    <w:p>
      <w:pPr>
        <w:pStyle w:val="ListBullet2"/>
        <w:numPr>
          <w:ilvl w:val="0"/>
          <w:numId w:val="3"/>
        </w:numPr>
        <w:rPr/>
      </w:pPr>
      <w:r>
        <w:rPr/>
        <w:t>should be applied to OOM transactions, as well as BEEP (once the ISO gets all OOM into BEEP) (Enron).</w:t>
      </w:r>
    </w:p>
    <w:p>
      <w:pPr>
        <w:pStyle w:val="ListBullet"/>
        <w:numPr>
          <w:ilvl w:val="0"/>
          <w:numId w:val="3"/>
        </w:numPr>
        <w:ind w:hanging="0" w:start="0"/>
        <w:rPr/>
      </w:pPr>
      <w:r>
        <w:rPr/>
        <w:t>Included force majeure protection for units that break (SCD Energy Solutions).</w:t>
      </w:r>
    </w:p>
    <w:p>
      <w:pPr>
        <w:pStyle w:val="ListBullet"/>
        <w:numPr>
          <w:ilvl w:val="0"/>
          <w:numId w:val="3"/>
        </w:numPr>
        <w:ind w:hanging="0" w:start="0"/>
        <w:rPr/>
      </w:pPr>
      <w:r>
        <w:rPr/>
        <w:t>I have heard the following good ideas so far (Unidentified Stakeholder):</w:t>
      </w:r>
    </w:p>
    <w:p>
      <w:pPr>
        <w:pStyle w:val="ListBullet2"/>
        <w:numPr>
          <w:ilvl w:val="0"/>
          <w:numId w:val="3"/>
        </w:numPr>
        <w:rPr/>
      </w:pPr>
      <w:r>
        <w:rPr/>
        <w:t>Apply penalties on a portfolio basis proportional to the size of the portfolio;</w:t>
      </w:r>
    </w:p>
    <w:p>
      <w:pPr>
        <w:pStyle w:val="ListBullet2"/>
        <w:numPr>
          <w:ilvl w:val="0"/>
          <w:numId w:val="3"/>
        </w:numPr>
        <w:rPr/>
      </w:pPr>
      <w:r>
        <w:rPr/>
        <w:t>Increase the dead band;</w:t>
      </w:r>
    </w:p>
    <w:p>
      <w:pPr>
        <w:pStyle w:val="ListBullet2"/>
        <w:numPr>
          <w:ilvl w:val="0"/>
          <w:numId w:val="3"/>
        </w:numPr>
        <w:rPr/>
      </w:pPr>
      <w:r>
        <w:rPr/>
        <w:t>Allow deviation sharing;</w:t>
      </w:r>
    </w:p>
    <w:p>
      <w:pPr>
        <w:pStyle w:val="ListBullet2"/>
        <w:numPr>
          <w:ilvl w:val="0"/>
          <w:numId w:val="3"/>
        </w:numPr>
        <w:rPr/>
      </w:pPr>
      <w:r>
        <w:rPr/>
        <w:t>Allow for force majeure exemptions from penalties;</w:t>
      </w:r>
    </w:p>
    <w:p>
      <w:pPr>
        <w:pStyle w:val="ListBullet2"/>
        <w:numPr>
          <w:ilvl w:val="0"/>
          <w:numId w:val="3"/>
        </w:numPr>
        <w:rPr/>
      </w:pPr>
      <w:r>
        <w:rPr/>
        <w:t>Allow both a percentage and an absolute MW limit to the dead band;</w:t>
      </w:r>
    </w:p>
    <w:p>
      <w:pPr>
        <w:pStyle w:val="ListBullet2"/>
        <w:numPr>
          <w:ilvl w:val="0"/>
          <w:numId w:val="3"/>
        </w:numPr>
        <w:rPr/>
      </w:pPr>
      <w:r>
        <w:rPr/>
        <w:t>Implement a longer settlement period;</w:t>
      </w:r>
    </w:p>
    <w:p>
      <w:pPr>
        <w:pStyle w:val="ListBullet2"/>
        <w:numPr>
          <w:ilvl w:val="0"/>
          <w:numId w:val="3"/>
        </w:numPr>
        <w:rPr/>
      </w:pPr>
      <w:r>
        <w:rPr/>
        <w:t>Implement a tiered approach to penalties; and</w:t>
      </w:r>
    </w:p>
    <w:p>
      <w:pPr>
        <w:pStyle w:val="ListBullet2"/>
        <w:numPr>
          <w:ilvl w:val="0"/>
          <w:numId w:val="3"/>
        </w:numPr>
        <w:rPr/>
      </w:pPr>
      <w:r>
        <w:rPr/>
        <w:t>Pay for all energy within the dead band.</w:t>
      </w:r>
    </w:p>
    <w:p>
      <w:pPr>
        <w:pStyle w:val="Heading1"/>
        <w:ind w:hanging="0" w:start="0"/>
        <w:rPr/>
      </w:pPr>
      <w:r>
        <w:rPr/>
        <w:t>Feedback on July, 2000 CMR Proposal (Real Time Market)</w:t>
      </w:r>
    </w:p>
    <w:p>
      <w:pPr>
        <w:pStyle w:val="ListBullet"/>
        <w:numPr>
          <w:ilvl w:val="0"/>
          <w:numId w:val="3"/>
        </w:numPr>
        <w:ind w:hanging="0" w:start="0"/>
        <w:rPr/>
      </w:pPr>
      <w:r>
        <w:rPr/>
        <w:t>Respondents generally supported using optimal dispatch in real time, based on locational effectiveness.</w:t>
      </w:r>
    </w:p>
    <w:p>
      <w:pPr>
        <w:pStyle w:val="ListBullet"/>
        <w:numPr>
          <w:ilvl w:val="0"/>
          <w:numId w:val="3"/>
        </w:numPr>
        <w:ind w:hanging="0" w:start="0"/>
        <w:rPr/>
      </w:pPr>
      <w:r>
        <w:rPr/>
        <w:t>Responses were divided on whether the ISO should maintain the 10-minute dispatch and settlement model, although there was minimal response in this area.  Two respondents suggested that the ISO fix or eliminate its Target Price methodology.</w:t>
      </w:r>
    </w:p>
    <w:p>
      <w:pPr>
        <w:pStyle w:val="ListBullet"/>
        <w:numPr>
          <w:ilvl w:val="0"/>
          <w:numId w:val="3"/>
        </w:numPr>
        <w:ind w:hanging="0" w:start="0"/>
        <w:rPr/>
      </w:pPr>
      <w:r>
        <w:rPr/>
        <w:t>Individual stakeholders suggested a few specific changes to real time operations, but none received broad support.</w:t>
      </w:r>
    </w:p>
    <w:p>
      <w:pPr>
        <w:pStyle w:val="Heading1"/>
        <w:ind w:hanging="0" w:start="0"/>
        <w:rPr/>
      </w:pPr>
      <w:r>
        <w:rPr/>
        <w:t>June 7, 2000 MIF Meeting</w:t>
      </w:r>
    </w:p>
    <w:p>
      <w:pPr>
        <w:pStyle w:val="BodyText"/>
        <w:rPr/>
      </w:pPr>
      <w:r>
        <w:rPr/>
        <w:t>(Presentation by Nancy Traweek)</w:t>
      </w:r>
    </w:p>
    <w:p>
      <w:pPr>
        <w:pStyle w:val="Heading2"/>
        <w:ind w:hanging="0" w:start="0"/>
        <w:rPr/>
      </w:pPr>
      <w:r>
        <w:rPr/>
        <w:t>Stakeholder Comments</w:t>
      </w:r>
    </w:p>
    <w:p>
      <w:pPr>
        <w:pStyle w:val="ListBullet"/>
        <w:numPr>
          <w:ilvl w:val="0"/>
          <w:numId w:val="3"/>
        </w:numPr>
        <w:ind w:hanging="0" w:start="0"/>
        <w:rPr/>
      </w:pPr>
      <w:r>
        <w:rPr/>
        <w:t>Support for (immediately) not allowing infeasible bids to set Target Price</w:t>
      </w:r>
    </w:p>
    <w:p>
      <w:pPr>
        <w:pStyle w:val="ListBullet"/>
        <w:numPr>
          <w:ilvl w:val="0"/>
          <w:numId w:val="3"/>
        </w:numPr>
        <w:ind w:hanging="0" w:start="0"/>
        <w:rPr/>
      </w:pPr>
      <w:r>
        <w:rPr/>
        <w:t>Support for holding open the threat that bids may actually be taken.</w:t>
      </w:r>
    </w:p>
    <w:p>
      <w:pPr>
        <w:pStyle w:val="ListBullet"/>
        <w:numPr>
          <w:ilvl w:val="0"/>
          <w:numId w:val="3"/>
        </w:numPr>
        <w:ind w:hanging="0" w:start="0"/>
        <w:rPr/>
      </w:pPr>
      <w:r>
        <w:rPr/>
        <w:t>Disagreement about whether Regulation should be taken out of the imbalance market.</w:t>
      </w:r>
    </w:p>
    <w:p>
      <w:pPr>
        <w:pStyle w:val="Heading1"/>
        <w:ind w:hanging="0" w:start="0"/>
        <w:rPr/>
      </w:pPr>
      <w:r>
        <w:rPr/>
        <w:t>Comments from April 18, 2000 Conference Call</w:t>
      </w:r>
    </w:p>
    <w:p>
      <w:pPr>
        <w:pStyle w:val="ListBullet"/>
        <w:numPr>
          <w:ilvl w:val="0"/>
          <w:numId w:val="3"/>
        </w:numPr>
        <w:ind w:hanging="0" w:start="0"/>
        <w:rPr/>
      </w:pPr>
      <w:r>
        <w:rPr/>
        <w:t>Support for continuous clearing. (Southern)</w:t>
      </w:r>
    </w:p>
    <w:p>
      <w:pPr>
        <w:pStyle w:val="ListBullet"/>
        <w:numPr>
          <w:ilvl w:val="0"/>
          <w:numId w:val="3"/>
        </w:numPr>
        <w:ind w:hanging="0" w:start="0"/>
        <w:rPr/>
      </w:pPr>
      <w:r>
        <w:rPr/>
        <w:t>Either abandon MCP in favor of "pay as bid" for its real time energy or produce a white paper explaining MCPs benefits that exceed these costs. (MZA Grid Services)</w:t>
      </w:r>
    </w:p>
    <w:p>
      <w:pPr>
        <w:pStyle w:val="ListBullet"/>
        <w:numPr>
          <w:ilvl w:val="0"/>
          <w:numId w:val="3"/>
        </w:numPr>
        <w:ind w:hanging="0" w:start="0"/>
        <w:rPr/>
      </w:pPr>
      <w:r>
        <w:rPr/>
        <w:t>The inc and dec markets should be resolved simultaneously, which means do not split the BEEP stack when prices are determined. (Eric Woycheck)</w:t>
      </w:r>
    </w:p>
    <w:p>
      <w:pPr>
        <w:pStyle w:val="ListBullet"/>
        <w:numPr>
          <w:ilvl w:val="0"/>
          <w:numId w:val="3"/>
        </w:numPr>
        <w:ind w:hanging="0" w:start="0"/>
        <w:rPr/>
      </w:pPr>
      <w:r>
        <w:rPr/>
        <w:t>The effectiveness factors for intra-zonal (currently used first) and the effectiveness factors for inter-zonal used later (sequentially after intra-zonal) should be combined with a single BEEP stack, which includes incs and decs, to determine the desired real-time price. (Eric Woycheck)</w:t>
      </w:r>
    </w:p>
    <w:p>
      <w:pPr>
        <w:pStyle w:val="ListBullet"/>
        <w:numPr>
          <w:ilvl w:val="0"/>
          <w:numId w:val="3"/>
        </w:numPr>
        <w:ind w:hanging="0" w:start="0"/>
        <w:rPr/>
      </w:pPr>
      <w:r>
        <w:rPr/>
        <w:t>Ensure that only bids that are physically deliverable are used in determining the Target Price (eliminate infeasible bids).  (PG&amp;E, Southern, Enron)</w:t>
      </w:r>
    </w:p>
    <w:p>
      <w:pPr>
        <w:pStyle w:val="ListBullet"/>
        <w:numPr>
          <w:ilvl w:val="0"/>
          <w:numId w:val="3"/>
        </w:numPr>
        <w:ind w:hanging="0" w:start="0"/>
        <w:rPr/>
      </w:pPr>
      <w:r>
        <w:rPr/>
        <w:t>We cannot support Option 2 (separate prices for instructed and uninstructed deviations, with target price used only for uninstructed deviations).  Elimination of price overlap by economic re-dispatch is a more appropriate long-term solution.  (PG&amp;E)</w:t>
      </w:r>
    </w:p>
    <w:p>
      <w:pPr>
        <w:pStyle w:val="ListBullet"/>
        <w:numPr>
          <w:ilvl w:val="0"/>
          <w:numId w:val="3"/>
        </w:numPr>
        <w:ind w:hanging="0" w:start="0"/>
        <w:rPr/>
      </w:pPr>
      <w:r>
        <w:rPr/>
        <w:t>Provide a means to distinguish whether a posted zero in the DEC price column represents the target price or an actual DEC call at $0/mwh). (Calpine)</w:t>
      </w:r>
    </w:p>
    <w:p>
      <w:pPr>
        <w:pStyle w:val="ListBullet"/>
        <w:numPr>
          <w:ilvl w:val="0"/>
          <w:numId w:val="3"/>
        </w:numPr>
        <w:ind w:hanging="0" w:start="0"/>
        <w:rPr/>
      </w:pPr>
      <w:r>
        <w:rPr/>
        <w:t>Why is a continuous monotonic bidding curve necessary and consequently a target price has to be calculated? (PG&amp;E, Enron, SCEM (Mirant)</w:t>
      </w:r>
    </w:p>
    <w:p>
      <w:pPr>
        <w:pStyle w:val="ListBullet"/>
        <w:numPr>
          <w:ilvl w:val="0"/>
          <w:numId w:val="3"/>
        </w:numPr>
        <w:ind w:hanging="0" w:start="0"/>
        <w:rPr/>
      </w:pPr>
      <w:r>
        <w:rPr/>
        <w:t>Given the many changes that took place (or will take place) since the original tariff was developed, we recommend to revisit the need for a target price. (PG&amp;E)</w:t>
      </w:r>
    </w:p>
    <w:p>
      <w:pPr>
        <w:pStyle w:val="ListBullet"/>
        <w:numPr>
          <w:ilvl w:val="0"/>
          <w:numId w:val="3"/>
        </w:numPr>
        <w:ind w:hanging="0" w:start="0"/>
        <w:rPr/>
      </w:pPr>
      <w:r>
        <w:rPr/>
        <w:t>We recognize that the ISO changed the target price methodology in order to thwart a target price “gaming” behavior that existed under the old methodology.  This new methodology is riddled with significant gaming opportunity as well.  The games appear to be limited to circumstances when the ISO is “decing”.  We need to find a policy that will preserve the price signals on the “inc” side and remedy the “dec” problem.  At this time, we don’t have a definitive solution to this problem.  (Enron)</w:t>
      </w:r>
    </w:p>
    <w:p>
      <w:pPr>
        <w:pStyle w:val="ListBullet"/>
        <w:numPr>
          <w:ilvl w:val="0"/>
          <w:numId w:val="3"/>
        </w:numPr>
        <w:ind w:hanging="0" w:start="0"/>
        <w:rPr/>
      </w:pPr>
      <w:r>
        <w:rPr/>
        <w:t>Can we have different target prices for “incs” and “decs”?  Leave the “inc” process the way it works now and set the “dec” target price at a level different level.  Surely there is a more reasonable number than $0.00 for 45% of the hours in a year.  Perhaps an hourly day-ahead price from a PX, APX, or Dow Jones index could work.  We could also use the previous day’s ex post price as the target.  (Enron)</w:t>
      </w:r>
    </w:p>
    <w:p>
      <w:pPr>
        <w:pStyle w:val="ListBullet"/>
        <w:numPr>
          <w:ilvl w:val="0"/>
          <w:numId w:val="3"/>
        </w:numPr>
        <w:ind w:hanging="0" w:start="0"/>
        <w:rPr/>
      </w:pPr>
      <w:r>
        <w:rPr/>
        <w:t>The approach with which the target price was modified is unacceptable.  This change materially affected both the ISO markets and the surrounding markets which respond to prices in CA.  That the ISO can make such a change without notice or review is not tolerable. (Reliant, Calpine)</w:t>
      </w:r>
    </w:p>
    <w:p>
      <w:pPr>
        <w:pStyle w:val="ListBullet"/>
        <w:numPr>
          <w:ilvl w:val="0"/>
          <w:numId w:val="3"/>
        </w:numPr>
        <w:ind w:hanging="0" w:start="0"/>
        <w:rPr/>
      </w:pPr>
      <w:r>
        <w:rPr/>
        <w:t>Secondly, we cannot reasonably do business in California if we have no sense of how the market is behaving.  We must be able to evaluate and mitigate our risks.  We need a near-real time mechanism to understand when the target price is in affect and when not.  (Reliant)</w:t>
      </w:r>
    </w:p>
    <w:p>
      <w:pPr>
        <w:pStyle w:val="Header"/>
        <w:tabs>
          <w:tab w:val="clear" w:pos="4320"/>
          <w:tab w:val="clear" w:pos="8640"/>
        </w:tabs>
        <w:jc w:val="both"/>
        <w:rPr/>
      </w:pPr>
      <w:r>
        <w:rPr/>
      </w:r>
    </w:p>
    <w:sectPr>
      <w:headerReference w:type="default" r:id="rId5"/>
      <w:footerReference w:type="default" r:id="rId6"/>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MrktOpts-FM-MAR</w:t>
      <w:tab/>
      <w:tab/>
      <w:t>11/21/01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180" w:start="180" w:end="0"/>
        <w:rPr/>
      </w:pPr>
      <w:r>
        <w:rPr>
          <w:rStyle w:val="FootnoteCharacters"/>
        </w:rPr>
        <w:footnoteRef/>
      </w:r>
      <w:r>
        <w:rPr>
          <w:rFonts w:cs="Arial" w:ascii="Arial" w:hAnsi="Arial"/>
          <w:sz w:val="16"/>
        </w:rPr>
        <w:tab/>
        <w:t>Net deviations are shown because Scheduling Coordinators (SC) are allowed to offset positive deviations from some of their resources with negative deviations from other resources, in real time.  The net positive deviations are averaged for intervals in which individual SCs have positive values, and net negative deviations are averaged for intervals in which individual SCs have negative values.  Because the output of resources that are providing Regulation will vary within a time period, the results reported here exclude resources for which Regulation bids have been accepted during the specific interval.  Although generators that are providing Regulation are included in the overall calculation of uninstructed deviations for settlements purposes, Automatic Generation Control (AGC) equipment will attempt to keep a generator's output within its regulating range, and will vary its output within the regulating range in response to system conditions.  Thus, only deviations outside the regulating range would be truly uninstructed from an operational perspective, without a review of plant-specific operations that would be beyond the scope of this report.  Such deviations have initially decreased since the implementation of ten-minute markets, but are small compared to the uninstructed deviations of generators that are not providing Regulation due to the effectiveness of AGC, as shown in the following table (showing the sum of plant-specific uninstructed deviations rather than netting deviations across each SC's portfolio):</w:t>
      </w:r>
    </w:p>
    <w:p>
      <w:pPr>
        <w:pStyle w:val="FootnoteText"/>
        <w:keepNext w:val="true"/>
        <w:jc w:val="center"/>
        <w:rPr>
          <w:rFonts w:ascii="Arial" w:hAnsi="Arial" w:cs="Arial"/>
          <w:sz w:val="16"/>
        </w:rPr>
      </w:pPr>
      <w:r>
        <w:rPr>
          <w:rFonts w:cs="Arial" w:ascii="Arial" w:hAnsi="Arial"/>
          <w:sz w:val="16"/>
        </w:rPr>
      </w:r>
    </w:p>
    <w:p>
      <w:pPr>
        <w:pStyle w:val="FootnoteText"/>
        <w:keepNext w:val="true"/>
        <w:jc w:val="center"/>
        <w:rPr>
          <w:rFonts w:ascii="Arial" w:hAnsi="Arial" w:cs="Arial"/>
          <w:sz w:val="16"/>
        </w:rPr>
      </w:pPr>
      <w:r>
        <w:rPr>
          <w:rFonts w:cs="Arial" w:ascii="Arial" w:hAnsi="Arial"/>
          <w:sz w:val="16"/>
        </w:rPr>
        <w:t>Month</w:t>
      </w:r>
    </w:p>
    <w:p>
      <w:pPr>
        <w:pStyle w:val="FootnoteText"/>
        <w:keepNext w:val="true"/>
        <w:jc w:val="center"/>
        <w:rPr>
          <w:rFonts w:ascii="Arial" w:hAnsi="Arial" w:cs="Arial"/>
          <w:sz w:val="16"/>
        </w:rPr>
      </w:pPr>
      <w:r>
        <w:rPr>
          <w:rFonts w:cs="Arial" w:ascii="Arial" w:hAnsi="Arial"/>
          <w:sz w:val="16"/>
        </w:rPr>
        <w:t>(Year 2000)Average</w:t>
      </w:r>
    </w:p>
    <w:p>
      <w:pPr>
        <w:pStyle w:val="FootnoteText"/>
        <w:keepNext w:val="true"/>
        <w:jc w:val="center"/>
        <w:rPr>
          <w:rFonts w:ascii="Arial" w:hAnsi="Arial" w:cs="Arial"/>
          <w:sz w:val="16"/>
        </w:rPr>
      </w:pPr>
      <w:r>
        <w:rPr>
          <w:rFonts w:cs="Arial" w:ascii="Arial" w:hAnsi="Arial"/>
          <w:sz w:val="16"/>
        </w:rPr>
        <w:t>Positive Deviation Outside Regulating RangeAverage</w:t>
      </w:r>
    </w:p>
    <w:p>
      <w:pPr>
        <w:pStyle w:val="Normal"/>
        <w:keepNext w:val="true"/>
        <w:jc w:val="center"/>
        <w:rPr/>
      </w:pPr>
      <w:r>
        <w:rPr>
          <w:rFonts w:cs="Arial" w:ascii="Arial" w:hAnsi="Arial"/>
          <w:sz w:val="16"/>
        </w:rPr>
        <w:t>Negative Deviations Outside Regulating RangeJune35.8 MW44.7July30.836.3August41.540.4September31.427.0October12.020.8November5.818.4</w:t>
      </w:r>
    </w:p>
  </w:footnote>
  <w:footnote w:id="3">
    <w:p>
      <w:pPr>
        <w:pStyle w:val="FootnoteText"/>
        <w:rPr/>
      </w:pPr>
      <w:r>
        <w:rPr>
          <w:rStyle w:val="FootnoteCharacters"/>
        </w:rPr>
        <w:footnoteRef/>
      </w:r>
      <w:r>
        <w:rPr/>
        <w:t xml:space="preserve"> </w:t>
      </w:r>
      <w:r>
        <w:rPr/>
        <w:t xml:space="preserve">Note the amount of penalties assessed under </w:t>
      </w:r>
      <w:r>
        <w:rPr>
          <w:rFonts w:cs="Arial" w:ascii="Arial" w:hAnsi="Arial"/>
          <w:sz w:val="22"/>
        </w:rPr>
        <w:t>Amendment 33 authority is subject to change as a result of the on-going refund case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drawing>
        <wp:anchor behindDoc="1" distT="0" distB="0" distL="114935" distR="114935" simplePos="0" locked="0" layoutInCell="1" allowOverlap="1" relativeHeight="13">
          <wp:simplePos x="0" y="0"/>
          <wp:positionH relativeFrom="column">
            <wp:posOffset>-45720</wp:posOffset>
          </wp:positionH>
          <wp:positionV relativeFrom="paragraph">
            <wp:posOffset>635</wp:posOffset>
          </wp:positionV>
          <wp:extent cx="2103120" cy="471805"/>
          <wp:effectExtent l="0" t="0" r="0" b="0"/>
          <wp:wrapNone/>
          <wp:docPr id="2" name="logo%20col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color" descr="" title=""/>
                  <pic:cNvPicPr>
                    <a:picLocks noChangeAspect="1" noChangeArrowheads="1"/>
                  </pic:cNvPicPr>
                </pic:nvPicPr>
                <pic:blipFill>
                  <a:blip r:embed="rId1"/>
                  <a:srcRect l="-4" t="24222" r="-4" b="-19"/>
                  <a:stretch>
                    <a:fillRect/>
                  </a:stretch>
                </pic:blipFill>
                <pic:spPr bwMode="auto">
                  <a:xfrm>
                    <a:off x="0" y="0"/>
                    <a:ext cx="2103120" cy="471805"/>
                  </a:xfrm>
                  <a:prstGeom prst="rect">
                    <a:avLst/>
                  </a:prstGeom>
                  <a:solidFill>
                    <a:srgbClr val="00cc99"/>
                  </a:solidFill>
                </pic:spPr>
              </pic:pic>
            </a:graphicData>
          </a:graphic>
        </wp:anchor>
      </w:drawing>
    </w:r>
    <w:r>
      <w:rPr/>
      <w:t>DISCUSSION 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keepLines/>
      <w:numPr>
        <w:ilvl w:val="1"/>
        <w:numId w:val="1"/>
      </w:numPr>
      <w:jc w:val="center"/>
      <w:outlineLvl w:val="1"/>
    </w:pPr>
    <w:rPr>
      <w:rFonts w:ascii="Arial" w:hAnsi="Arial" w:cs="Arial"/>
      <w:b/>
      <w:sz w:val="22"/>
    </w:rPr>
  </w:style>
  <w:style w:type="paragraph" w:styleId="Heading3">
    <w:name w:val="heading 3"/>
    <w:basedOn w:val="Normal"/>
    <w:next w:val="Normal"/>
    <w:qFormat/>
    <w:pPr>
      <w:keepNext w:val="true"/>
      <w:keepLines/>
      <w:numPr>
        <w:ilvl w:val="2"/>
        <w:numId w:val="1"/>
      </w:numPr>
      <w:jc w:val="center"/>
      <w:outlineLvl w:val="2"/>
    </w:pPr>
    <w:rPr>
      <w:rFonts w:ascii="Arial" w:hAnsi="Arial" w:cs="Arial"/>
      <w:b/>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Subtitle"/>
    <w:qFormat/>
    <w:pPr>
      <w:keepNext w:val="true"/>
      <w:keepLines/>
      <w:spacing w:lineRule="atLeast" w:line="540" w:before="660" w:after="400"/>
      <w:jc w:val="center"/>
    </w:pPr>
    <w:rPr>
      <w:rFonts w:ascii="Arial" w:hAnsi="Arial" w:cs="Arial"/>
      <w:spacing w:val="-40"/>
      <w:kern w:val="2"/>
      <w:sz w:val="60"/>
    </w:rPr>
  </w:style>
  <w:style w:type="paragraph" w:styleId="BodyText">
    <w:name w:val="Body Text"/>
    <w:basedOn w:val="Normal"/>
    <w:pPr>
      <w:spacing w:lineRule="atLeast" w:line="220" w:before="0" w:after="220"/>
      <w:jc w:val="both"/>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2"/>
    </w:rPr>
  </w:style>
  <w:style w:type="paragraph" w:styleId="FootnoteText">
    <w:name w:val="footnote text"/>
    <w:basedOn w:val="Normal"/>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3"/>
      </w:numPr>
      <w:spacing w:before="0" w:after="220"/>
      <w:jc w:val="both"/>
    </w:pPr>
    <w:rPr>
      <w:rFonts w:ascii="Arial Narrow" w:hAnsi="Arial Narrow" w:cs="Arial Narrow"/>
      <w:sz w:val="24"/>
    </w:rPr>
  </w:style>
  <w:style w:type="paragraph" w:styleId="ListNumber">
    <w:name w:val="List Number"/>
    <w:basedOn w:val="Normal"/>
    <w:qFormat/>
    <w:pPr>
      <w:numPr>
        <w:ilvl w:val="0"/>
        <w:numId w:val="2"/>
      </w:numPr>
      <w:spacing w:before="0" w:after="220"/>
      <w:jc w:val="both"/>
    </w:pPr>
    <w:rPr>
      <w:rFonts w:ascii="Arial Narrow" w:hAnsi="Arial Narrow" w:cs="Arial Narrow"/>
      <w:sz w:val="24"/>
    </w:rPr>
  </w:style>
  <w:style w:type="paragraph" w:styleId="Subtitle">
    <w:name w:val="Subtitle"/>
    <w:basedOn w:val="Heading"/>
    <w:next w:val="BodyText"/>
    <w:qFormat/>
    <w:pPr>
      <w:spacing w:lineRule="atLeast" w:line="400" w:before="0" w:after="160"/>
    </w:pPr>
    <w:rPr>
      <w:i/>
      <w:spacing w:val="-14"/>
      <w:sz w:val="34"/>
    </w:rPr>
  </w:style>
  <w:style w:type="paragraph" w:styleId="ListBullet2">
    <w:name w:val="List Bullet 2"/>
    <w:basedOn w:val="ListBullet"/>
    <w:qFormat/>
    <w:pPr>
      <w:ind w:hanging="0" w:start="10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2001-11-21T21:54:00Z</dcterms:created>
  <dc:creator>MRothleder</dc:creator>
  <dc:description/>
  <dc:language>en-CA</dc:language>
  <cp:lastModifiedBy>jpayton</cp:lastModifiedBy>
  <cp:lastPrinted>2001-11-21T10:42:00Z</cp:lastPrinted>
  <dcterms:modified xsi:type="dcterms:W3CDTF">2001-11-21T21:54:00Z</dcterms:modified>
  <cp:revision>2</cp:revision>
  <dc:subject/>
  <dc:title>INTRODUCTION</dc:title>
</cp:coreProperties>
</file>