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rPr/>
      </w:pPr>
      <w:r>
        <w:rPr/>
        <w:t>Any Refund Liability Determination for EPMI Should be Offset by EPMI’s Receivables Due from CAISO and Load Serving Entities (LSEs) from the Proceeds of CAISO’s Underscheduling Penalty</w:t>
      </w:r>
    </w:p>
    <w:p>
      <w:pPr>
        <w:pStyle w:val="Normal"/>
        <w:rPr/>
      </w:pPr>
      <w:r>
        <w:rPr/>
      </w:r>
    </w:p>
    <w:p>
      <w:pPr>
        <w:pStyle w:val="Normal"/>
        <w:numPr>
          <w:ilvl w:val="0"/>
          <w:numId w:val="1"/>
        </w:numPr>
        <w:rPr/>
      </w:pPr>
      <w:r>
        <w:rPr/>
        <w:t>What the underscheduling penalty is:  The Commission in its various orders addressing the California power crisis has repeatedly acknowledged the failure of load-serving entities (LSE’s) in California to forward contract as a way to protect retail customers from price volatility and as a way to anticipate shortage.  As a way to encourage load to contract for power in advance of real-time (especially when prices in R/T are capped), the Commission proposed (in its November 1 proposed order) and implemented (effective 1/1/01, with its December 15 Order) an underscheduling penalty:</w:t>
      </w:r>
    </w:p>
    <w:p>
      <w:pPr>
        <w:pStyle w:val="Normal"/>
        <w:rPr/>
      </w:pPr>
      <w:r>
        <w:rPr/>
      </w:r>
    </w:p>
    <w:p>
      <w:pPr>
        <w:pStyle w:val="BlockText"/>
        <w:rPr/>
      </w:pPr>
      <w:r>
        <w:rPr/>
        <w:t xml:space="preserve">Penalties for Underscheduling Load. Market participants will be required to schedule 95 percent of their loads prior to real-time and will be subject to a penalty for deviations in scheduling in excess of five percent of an entity's hourly load requirements, with disbursement of revenues to all loads that scheduled accurately. (12/15 Order, p. 5) [note all the FERC Order cited are on </w:t>
      </w:r>
      <w:hyperlink r:id="rId2">
        <w:r>
          <w:rPr>
            <w:rStyle w:val="Hyperlink"/>
          </w:rPr>
          <w:t>www.ferc.gov</w:t>
        </w:r>
      </w:hyperlink>
      <w:r>
        <w:rPr/>
        <w:t xml:space="preserve">] </w:t>
      </w:r>
    </w:p>
    <w:p>
      <w:pPr>
        <w:pStyle w:val="Normal"/>
        <w:rPr/>
      </w:pPr>
      <w:r>
        <w:rPr/>
      </w:r>
    </w:p>
    <w:p>
      <w:pPr>
        <w:pStyle w:val="Normal"/>
        <w:numPr>
          <w:ilvl w:val="1"/>
          <w:numId w:val="1"/>
        </w:numPr>
        <w:rPr/>
      </w:pPr>
      <w:r>
        <w:rPr/>
        <w:t>The penalty was set at 2x the price of real-time energy or $100/MWh, whichever is less.  See also discussion p. 40-45</w:t>
      </w:r>
    </w:p>
    <w:p>
      <w:pPr>
        <w:pStyle w:val="Normal"/>
        <w:rPr/>
      </w:pPr>
      <w:r>
        <w:rPr/>
      </w:r>
    </w:p>
    <w:p>
      <w:pPr>
        <w:pStyle w:val="Normal"/>
        <w:numPr>
          <w:ilvl w:val="0"/>
          <w:numId w:val="1"/>
        </w:numPr>
        <w:rPr/>
      </w:pPr>
      <w:r>
        <w:rPr/>
        <w:t>Background/History since its adoption</w:t>
      </w:r>
    </w:p>
    <w:p>
      <w:pPr>
        <w:pStyle w:val="Normal"/>
        <w:numPr>
          <w:ilvl w:val="1"/>
          <w:numId w:val="1"/>
        </w:numPr>
        <w:rPr/>
      </w:pPr>
      <w:r>
        <w:rPr/>
        <w:t>On February 2, PG&amp;E and SCE filed a request for immediate suspension of the underscheduling penalty.</w:t>
      </w:r>
    </w:p>
    <w:p>
      <w:pPr>
        <w:pStyle w:val="Normal"/>
        <w:numPr>
          <w:ilvl w:val="1"/>
          <w:numId w:val="1"/>
        </w:numPr>
        <w:rPr/>
      </w:pPr>
      <w:r>
        <w:rPr/>
        <w:t>On March 20, 2001, the CAISO filed Tariff Amendment No. 38 which, among other things, proposes to suspend the underscheduling penalty provision through May 31, 2001. 5</w:t>
      </w:r>
    </w:p>
    <w:p>
      <w:pPr>
        <w:pStyle w:val="Normal"/>
        <w:numPr>
          <w:ilvl w:val="2"/>
          <w:numId w:val="1"/>
        </w:numPr>
        <w:rPr/>
      </w:pPr>
      <w:r>
        <w:rPr/>
        <w:t xml:space="preserve">Along with CAISO, Enron supported the motion of PG&amp;E and SCE.  (Not sure exactly what we said there.  Hopefully we supported only the temporary suspension and supported a widening of the penalty deadband rather than a complete removal of the penalty). </w:t>
      </w:r>
    </w:p>
    <w:p>
      <w:pPr>
        <w:pStyle w:val="Normal"/>
        <w:ind w:start="720" w:end="0"/>
        <w:rPr/>
      </w:pPr>
      <w:r>
        <w:rPr/>
      </w:r>
    </w:p>
    <w:p>
      <w:pPr>
        <w:pStyle w:val="Normal"/>
        <w:numPr>
          <w:ilvl w:val="1"/>
          <w:numId w:val="1"/>
        </w:numPr>
        <w:rPr/>
      </w:pPr>
      <w:r>
        <w:rPr/>
        <w:t xml:space="preserve">Commission deferred action on that issue in its April 6 Order.  It requested more information from the CAISO but never stated that the penalty should be held in abeyance pending further consideration.  </w:t>
      </w:r>
    </w:p>
    <w:p>
      <w:pPr>
        <w:pStyle w:val="Normal"/>
        <w:numPr>
          <w:ilvl w:val="1"/>
          <w:numId w:val="1"/>
        </w:numPr>
        <w:rPr/>
      </w:pPr>
      <w:r>
        <w:rPr/>
        <w:t>On May 16, the Commission expressly denied the portion of amendment 38 that would suspend the underscheduling penalty and said it would rule on this matter on a future date.  Despite this directive, the CAISO did not comply with the FERC’s order to implement an underscheduling penalty.</w:t>
      </w:r>
    </w:p>
    <w:p>
      <w:pPr>
        <w:pStyle w:val="Normal"/>
        <w:numPr>
          <w:ilvl w:val="1"/>
          <w:numId w:val="1"/>
        </w:numPr>
        <w:rPr/>
      </w:pPr>
      <w:r>
        <w:rPr/>
        <w:t>One June 14 the California Energy Oversight Board requested rehearing of the Commission’s May 16 Order.  In that filing, Calif. EOB acknowledged that the major load serving entities had accrued a substantial liability from the penalty:  “the potential penalty to load approaches $1 billion dollars for January 1, 2001 through June 12, 2001.  From January 19, 2001 to June 12, 2001 (the period in which the CDWR is the purchaser of the “net short” position of the IOUs), the penalty exceeds $800 million.”</w:t>
      </w:r>
    </w:p>
    <w:p>
      <w:pPr>
        <w:pStyle w:val="Normal"/>
        <w:numPr>
          <w:ilvl w:val="1"/>
          <w:numId w:val="1"/>
        </w:numPr>
        <w:rPr/>
      </w:pPr>
      <w:r>
        <w:rPr/>
        <w:t>Commission expressly stated that the  underscheduling  penalty was still in place in the April 26 and June 19</w:t>
      </w:r>
      <w:r>
        <w:rPr>
          <w:vertAlign w:val="superscript"/>
        </w:rPr>
        <w:t>th</w:t>
      </w:r>
      <w:r>
        <w:rPr/>
        <w:t xml:space="preserve"> orders</w:t>
      </w:r>
    </w:p>
    <w:p>
      <w:pPr>
        <w:pStyle w:val="Normal"/>
        <w:rPr/>
      </w:pPr>
      <w:r>
        <w:rPr/>
      </w:r>
    </w:p>
    <w:p>
      <w:pPr>
        <w:pStyle w:val="Normal"/>
        <w:numPr>
          <w:ilvl w:val="2"/>
          <w:numId w:val="1"/>
        </w:numPr>
        <w:rPr/>
      </w:pPr>
      <w:r>
        <w:rPr/>
        <w:t>In the April 26 Order, the Commission stated:</w:t>
      </w:r>
    </w:p>
    <w:p>
      <w:pPr>
        <w:pStyle w:val="Normal"/>
        <w:rPr/>
      </w:pPr>
      <w:r>
        <w:rPr/>
      </w:r>
    </w:p>
    <w:p>
      <w:pPr>
        <w:pStyle w:val="BlockText"/>
        <w:rPr/>
      </w:pPr>
      <w:r>
        <w:rPr/>
        <w:t>“</w:t>
      </w:r>
      <w:r>
        <w:rPr/>
        <w:t>Moreover, the price mitigation plan adopted here will influence other markets, such as the bilateral market, and should not create incentives for buyers to avoid bilateral agreements. Energy buyers are subject to a maximum penalty of $100/MWh if they have over 5 percent of their load served in the real-time market.36 (Footnote 36 stated: On April 6, 2001, the Commission deferred action on the request by Social Edison and PG&amp;E to suspend the penalty for underscheduling. Southern California Edison, 95 FERC ¶ 61,025 (2001).)</w:t>
      </w:r>
    </w:p>
    <w:p>
      <w:pPr>
        <w:pStyle w:val="Normal"/>
        <w:rPr/>
      </w:pPr>
      <w:r>
        <w:rPr/>
      </w:r>
    </w:p>
    <w:p>
      <w:pPr>
        <w:pStyle w:val="Normal"/>
        <w:numPr>
          <w:ilvl w:val="2"/>
          <w:numId w:val="1"/>
        </w:numPr>
        <w:rPr/>
      </w:pPr>
      <w:r>
        <w:rPr/>
        <w:t>In the June 19 Order the Commission stated:</w:t>
      </w:r>
    </w:p>
    <w:p>
      <w:pPr>
        <w:pStyle w:val="Normal"/>
        <w:ind w:start="720" w:end="0"/>
        <w:rPr/>
      </w:pPr>
      <w:r>
        <w:rPr/>
      </w:r>
    </w:p>
    <w:p>
      <w:pPr>
        <w:pStyle w:val="BlockText"/>
        <w:rPr/>
      </w:pPr>
      <w:r>
        <w:rPr/>
        <w:t xml:space="preserve">On December 15, 2000, the Commission issued an order which established, among other things, as part of a comprehensive price mitigation plan, a maximum penalty of $100/MWh if energy buyers had over 5 percent of their load served in the real-time market. 80 Several parties request that the Commission suspend the penalty for underscheduling in this proceeding. 81 Due to the Commission's decision in the April 26 Order to defer action on suspending the penalty for underscheduling, we will address this issue in a future order. </w:t>
      </w:r>
    </w:p>
    <w:p>
      <w:pPr>
        <w:pStyle w:val="BlockText"/>
        <w:rPr/>
      </w:pPr>
      <w:r>
        <w:rPr/>
        <w:tab/>
        <w:tab/>
        <w:tab/>
        <w:tab/>
        <w:tab/>
      </w:r>
    </w:p>
    <w:p>
      <w:pPr>
        <w:pStyle w:val="Normal"/>
        <w:numPr>
          <w:ilvl w:val="0"/>
          <w:numId w:val="1"/>
        </w:numPr>
        <w:rPr/>
      </w:pPr>
      <w:r>
        <w:rPr/>
        <w:t>What CAISO actually did</w:t>
      </w:r>
    </w:p>
    <w:p>
      <w:pPr>
        <w:pStyle w:val="Normal"/>
        <w:numPr>
          <w:ilvl w:val="1"/>
          <w:numId w:val="1"/>
        </w:numPr>
        <w:rPr/>
      </w:pPr>
      <w:r>
        <w:rPr/>
        <w:t>On or about 2/23/01, CAISO gave notice to market participants that the underscheduling penalty had been adopted by the Commission but failed to collect charges and redistribute those to balanced load. See Attachment 1</w:t>
      </w:r>
    </w:p>
    <w:p>
      <w:pPr>
        <w:pStyle w:val="Normal"/>
        <w:numPr>
          <w:ilvl w:val="1"/>
          <w:numId w:val="1"/>
        </w:numPr>
        <w:rPr/>
      </w:pPr>
      <w:r>
        <w:rPr/>
        <w:t xml:space="preserve">The CAISO’s ostensible reason for not implementing the penalty was that it was requests for reconsideration had been made and that a Commission decision was pending.  Attachment 1. No updated market notice was issues to EPMI’s knowledge despite the clear direction from the Commission subsequent to this market notice. </w:t>
      </w:r>
    </w:p>
    <w:p>
      <w:pPr>
        <w:pStyle w:val="Normal"/>
        <w:ind w:start="720" w:end="0"/>
        <w:rPr/>
      </w:pPr>
      <w:r>
        <w:rPr/>
      </w:r>
    </w:p>
    <w:p>
      <w:pPr>
        <w:pStyle w:val="Normal"/>
        <w:numPr>
          <w:ilvl w:val="0"/>
          <w:numId w:val="1"/>
        </w:numPr>
        <w:rPr/>
      </w:pPr>
      <w:r>
        <w:rPr/>
        <w:t>EPMI’s Receivables pursuant to the penalty</w:t>
      </w:r>
    </w:p>
    <w:p>
      <w:pPr>
        <w:pStyle w:val="Normal"/>
        <w:numPr>
          <w:ilvl w:val="1"/>
          <w:numId w:val="1"/>
        </w:numPr>
        <w:rPr/>
      </w:pPr>
      <w:r>
        <w:rPr/>
        <w:t>EPMI manages the direct access loads of EES in California.  As one of the largest providers of direct access, EPMI is one of the largest load serving entities after the three major IOUs in California</w:t>
      </w:r>
    </w:p>
    <w:p>
      <w:pPr>
        <w:pStyle w:val="Normal"/>
        <w:numPr>
          <w:ilvl w:val="1"/>
          <w:numId w:val="1"/>
        </w:numPr>
        <w:rPr/>
      </w:pPr>
      <w:r>
        <w:rPr/>
        <w:t>EPMI has managed its load assuming the penalty was in place.  As a result, EPMI acquires resources to service its loads in advance of real-time.  As a result, EPMI generally “schedules accurately” and should receive a large allocation of penalty revenues.</w:t>
      </w:r>
    </w:p>
    <w:p>
      <w:pPr>
        <w:pStyle w:val="Normal"/>
        <w:numPr>
          <w:ilvl w:val="1"/>
          <w:numId w:val="1"/>
        </w:numPr>
        <w:rPr/>
      </w:pPr>
      <w:r>
        <w:rPr/>
        <w:t>EPMI requested information from CAISO on what its allocation of penalty revenues are.  Information supplied by CAISO to EPMI is attached.  [Note: this data is in file “CAISO Data on Underscheduling Penalty 010101 thru 041801.zip”  It shows hourly data by day through 4/18/01.  Chris Stokley has requested an update from CAISO.  Even if we do not get an update we should use this data to make our offset claim.]</w:t>
      </w:r>
    </w:p>
    <w:p>
      <w:pPr>
        <w:pStyle w:val="Normal"/>
        <w:numPr>
          <w:ilvl w:val="1"/>
          <w:numId w:val="1"/>
        </w:numPr>
        <w:rPr/>
      </w:pPr>
      <w:r>
        <w:rPr/>
        <w:t>Based on CAISO’s data, EPMI is owed $30.4 million.  Attachment 2.  This table is simply a summation of net charges and credits from the underscheduling penalty using data from CAISO.</w:t>
      </w:r>
    </w:p>
    <w:p>
      <w:pPr>
        <w:pStyle w:val="Normal"/>
        <w:numPr>
          <w:ilvl w:val="1"/>
          <w:numId w:val="1"/>
        </w:numPr>
        <w:rPr/>
      </w:pPr>
      <w:r>
        <w:rPr/>
        <w:t>EPMI questions CAISO’s data in that it expects to be one of the largest load-serving entities that goes into real time relatively balanced.  Given that the penalty charges amount to $1 billion, EPMI expects that its receivables may be much greater, perhaps in the $100 millions. EPMI reserves the right to audit CAISO’s calculations.  [Lodge discovery in this case?]</w:t>
      </w:r>
    </w:p>
    <w:p>
      <w:pPr>
        <w:pStyle w:val="Normal"/>
        <w:numPr>
          <w:ilvl w:val="1"/>
          <w:numId w:val="1"/>
        </w:numPr>
        <w:rPr/>
      </w:pPr>
      <w:r>
        <w:rPr/>
        <w:t>Regardless of the outcome of any disputes over the exact calculation of what  EPMI is owed, EPMI’s is owed a large sum of money as a result of the underscheduling penalty.  Any penalty revenues owed to EPMI should be used as an offset against any refund liability.</w:t>
      </w:r>
    </w:p>
    <w:p>
      <w:pPr>
        <w:pStyle w:val="Normal"/>
        <w:numPr>
          <w:ilvl w:val="0"/>
          <w:numId w:val="1"/>
        </w:numPr>
        <w:rPr/>
      </w:pPr>
      <w:r>
        <w:rPr/>
        <w:t>Suggested discovery questions (These questions should be reviewed by settlements because they can make the questions more precise)</w:t>
      </w:r>
    </w:p>
    <w:p>
      <w:pPr>
        <w:pStyle w:val="Normal"/>
        <w:numPr>
          <w:ilvl w:val="1"/>
          <w:numId w:val="1"/>
        </w:numPr>
        <w:rPr/>
      </w:pPr>
      <w:r>
        <w:rPr/>
        <w:t>Please confirm that the total tracked but not billed revenues from the underscheduling penalty match those provided by EOB in its June 12 filing.  I.e., the total revenues will exceed $1 billion</w:t>
      </w:r>
    </w:p>
    <w:p>
      <w:pPr>
        <w:pStyle w:val="Normal"/>
        <w:numPr>
          <w:ilvl w:val="1"/>
          <w:numId w:val="1"/>
        </w:numPr>
        <w:rPr/>
      </w:pPr>
      <w:r>
        <w:rPr/>
        <w:t>Provide the basis of the net deviation of EPMI’s load shown in the daily reports provided by CAISO to EPMI.  I.e.  What was the actual and scheduled load that resulted in the net deviation.1</w:t>
      </w:r>
    </w:p>
    <w:p>
      <w:pPr>
        <w:pStyle w:val="Normal"/>
        <w:numPr>
          <w:ilvl w:val="1"/>
          <w:numId w:val="1"/>
        </w:numPr>
        <w:rPr/>
      </w:pPr>
      <w:r>
        <w:rPr/>
        <w:t>What EPMI’s percentage of the total “balanced” load that receives the penalty revenues.  I.e, what is EPMI’s percentage of revenues disbursed through charge type 1480</w:t>
      </w:r>
    </w:p>
    <w:p>
      <w:pPr>
        <w:pStyle w:val="Normal"/>
        <w:numPr>
          <w:ilvl w:val="1"/>
          <w:numId w:val="1"/>
        </w:numPr>
        <w:rPr/>
      </w:pPr>
      <w:r>
        <w:rPr/>
        <w:t xml:space="preserve">With customer names masked, provide a monthly report of all customers that would receive revenues under charge type 1480 and the percentage of revenues received. </w:t>
      </w:r>
      <w:r>
        <w:br w:type="page"/>
      </w:r>
    </w:p>
    <w:p>
      <w:pPr>
        <w:pStyle w:val="BodyText"/>
        <w:jc w:val="center"/>
        <w:rPr>
          <w:b/>
          <w:bCs/>
        </w:rPr>
      </w:pPr>
      <w:r>
        <w:rPr>
          <w:b/>
          <w:bCs/>
        </w:rPr>
        <w:t>Attachment 1:</w:t>
      </w:r>
    </w:p>
    <w:p>
      <w:pPr>
        <w:pStyle w:val="BodyText"/>
        <w:jc w:val="center"/>
        <w:rPr>
          <w:b/>
          <w:bCs/>
        </w:rPr>
      </w:pPr>
      <w:r>
        <w:rPr>
          <w:b/>
          <w:bCs/>
        </w:rPr>
        <w:t>CAISO’s Market Notice on the Underscheduling Penalty Issued on or about 2/23/01</w:t>
      </w:r>
      <w:r>
        <w:br w:type="page"/>
      </w:r>
    </w:p>
    <w:p>
      <w:pPr>
        <w:pStyle w:val="Normal"/>
        <w:widowControl w:val="false"/>
        <w:autoSpaceDE w:val="false"/>
        <w:spacing w:lineRule="atLeast" w:line="240"/>
        <w:rPr>
          <w:rFonts w:ascii="Courier" w:hAnsi="Courier" w:cs="Arial"/>
          <w:color w:val="000000"/>
          <w:sz w:val="20"/>
          <w:szCs w:val="20"/>
        </w:rPr>
      </w:pPr>
      <w:r>
        <w:rPr>
          <w:rFonts w:cs="Arial" w:ascii="Courier" w:hAnsi="Courier"/>
          <w:color w:val="000000"/>
          <w:sz w:val="20"/>
          <w:szCs w:val="20"/>
        </w:rPr>
      </w:r>
    </w:p>
    <w:p>
      <w:pPr>
        <w:pStyle w:val="Normal"/>
        <w:widowControl w:val="false"/>
        <w:autoSpaceDE w:val="false"/>
        <w:spacing w:lineRule="atLeast" w:line="240"/>
        <w:rPr>
          <w:rFonts w:ascii="Courier" w:hAnsi="Courier" w:cs="Arial"/>
          <w:color w:val="000000"/>
          <w:sz w:val="20"/>
          <w:szCs w:val="20"/>
        </w:rPr>
      </w:pPr>
      <w:r>
        <w:rPr>
          <w:rFonts w:cs="Arial" w:ascii="Courier" w:hAnsi="Courier"/>
          <w:color w:val="000000"/>
          <w:sz w:val="20"/>
          <w:szCs w:val="20"/>
        </w:rPr>
      </w:r>
    </w:p>
    <w:p>
      <w:pPr>
        <w:pStyle w:val="Normal"/>
        <w:widowControl w:val="false"/>
        <w:autoSpaceDE w:val="false"/>
        <w:spacing w:lineRule="atLeast" w:line="240"/>
        <w:rPr>
          <w:rFonts w:ascii="Courier" w:hAnsi="Courier" w:cs="Arial"/>
          <w:color w:val="000000"/>
          <w:sz w:val="20"/>
          <w:szCs w:val="20"/>
        </w:rPr>
      </w:pPr>
      <w:r>
        <w:rPr>
          <w:rFonts w:cs="Arial" w:ascii="Courier" w:hAnsi="Courier"/>
          <w:color w:val="000000"/>
          <w:sz w:val="20"/>
          <w:szCs w:val="20"/>
        </w:rPr>
        <w:t>&gt; -----Original Message-----</w:t>
      </w:r>
    </w:p>
    <w:p>
      <w:pPr>
        <w:pStyle w:val="Normal"/>
        <w:widowControl w:val="false"/>
        <w:autoSpaceDE w:val="false"/>
        <w:spacing w:lineRule="atLeast" w:line="240"/>
        <w:rPr>
          <w:rFonts w:ascii="Courier" w:hAnsi="Courier" w:cs="Arial"/>
          <w:color w:val="000000"/>
          <w:sz w:val="20"/>
          <w:szCs w:val="20"/>
        </w:rPr>
      </w:pPr>
      <w:r>
        <w:rPr>
          <w:rFonts w:cs="Arial" w:ascii="Courier" w:hAnsi="Courier"/>
          <w:color w:val="000000"/>
          <w:sz w:val="20"/>
          <w:szCs w:val="20"/>
        </w:rPr>
        <w:t>&gt; From:</w:t>
        <w:tab/>
        <w:t>CRCommunications</w:t>
      </w:r>
    </w:p>
    <w:p>
      <w:pPr>
        <w:pStyle w:val="Normal"/>
        <w:widowControl w:val="false"/>
        <w:autoSpaceDE w:val="false"/>
        <w:spacing w:lineRule="atLeast" w:line="240"/>
        <w:rPr>
          <w:rFonts w:ascii="Courier" w:hAnsi="Courier" w:cs="Arial"/>
          <w:color w:val="000000"/>
          <w:sz w:val="20"/>
          <w:szCs w:val="20"/>
        </w:rPr>
      </w:pPr>
      <w:r>
        <w:rPr>
          <w:rFonts w:cs="Arial" w:ascii="Courier" w:hAnsi="Courier"/>
          <w:color w:val="000000"/>
          <w:sz w:val="20"/>
          <w:szCs w:val="20"/>
        </w:rPr>
        <w:t>&gt; Sent:</w:t>
        <w:tab/>
        <w:t>Friday, February 23, 2001 5:03 PM</w:t>
      </w:r>
    </w:p>
    <w:p>
      <w:pPr>
        <w:pStyle w:val="Normal"/>
        <w:widowControl w:val="false"/>
        <w:autoSpaceDE w:val="false"/>
        <w:spacing w:lineRule="atLeast" w:line="240"/>
        <w:rPr>
          <w:rFonts w:ascii="Courier" w:hAnsi="Courier" w:cs="Arial"/>
          <w:color w:val="000000"/>
          <w:sz w:val="20"/>
          <w:szCs w:val="20"/>
        </w:rPr>
      </w:pPr>
      <w:r>
        <w:rPr>
          <w:rFonts w:cs="Arial" w:ascii="Courier" w:hAnsi="Courier"/>
          <w:color w:val="000000"/>
          <w:sz w:val="20"/>
          <w:szCs w:val="20"/>
        </w:rPr>
        <w:t>&gt; To:</w:t>
        <w:tab/>
        <w:t>ISO Market Participants; SC Settlements Contacts</w:t>
      </w:r>
    </w:p>
    <w:p>
      <w:pPr>
        <w:pStyle w:val="Normal"/>
        <w:widowControl w:val="false"/>
        <w:autoSpaceDE w:val="false"/>
        <w:spacing w:lineRule="atLeast" w:line="240"/>
        <w:rPr>
          <w:rFonts w:ascii="Courier" w:hAnsi="Courier" w:cs="Arial"/>
          <w:color w:val="000000"/>
          <w:sz w:val="20"/>
          <w:szCs w:val="20"/>
        </w:rPr>
      </w:pPr>
      <w:r>
        <w:rPr>
          <w:rFonts w:cs="Arial" w:ascii="Courier" w:hAnsi="Courier"/>
          <w:color w:val="000000"/>
          <w:sz w:val="20"/>
          <w:szCs w:val="20"/>
        </w:rPr>
        <w:t>&gt; Cc:</w:t>
        <w:tab/>
        <w:t>Gerber, Spence; Shafa, Masoud; ISO Client Relations</w:t>
      </w:r>
    </w:p>
    <w:p>
      <w:pPr>
        <w:pStyle w:val="Normal"/>
        <w:widowControl w:val="false"/>
        <w:autoSpaceDE w:val="false"/>
        <w:spacing w:lineRule="atLeast" w:line="240"/>
        <w:rPr>
          <w:rFonts w:ascii="Courier" w:hAnsi="Courier" w:cs="Arial"/>
          <w:color w:val="000000"/>
          <w:sz w:val="20"/>
          <w:szCs w:val="20"/>
        </w:rPr>
      </w:pPr>
      <w:r>
        <w:rPr>
          <w:rFonts w:cs="Arial" w:ascii="Courier" w:hAnsi="Courier"/>
          <w:color w:val="000000"/>
          <w:sz w:val="20"/>
          <w:szCs w:val="20"/>
        </w:rPr>
        <w:t>&gt; Subject:</w:t>
        <w:tab/>
        <w:t>CAISO Notification-Unscheduled Demand Penalty</w:t>
      </w:r>
    </w:p>
    <w:p>
      <w:pPr>
        <w:pStyle w:val="Normal"/>
        <w:widowControl w:val="false"/>
        <w:autoSpaceDE w:val="false"/>
        <w:spacing w:lineRule="atLeast" w:line="240"/>
        <w:rPr>
          <w:rFonts w:ascii="Courier" w:hAnsi="Courier" w:cs="Arial"/>
          <w:color w:val="000000"/>
          <w:sz w:val="20"/>
          <w:szCs w:val="20"/>
        </w:rPr>
      </w:pPr>
      <w:r>
        <w:rPr>
          <w:rFonts w:cs="Arial" w:ascii="Courier" w:hAnsi="Courier"/>
          <w:color w:val="000000"/>
          <w:sz w:val="20"/>
          <w:szCs w:val="20"/>
        </w:rPr>
        <w:t>&gt;</w:t>
      </w:r>
    </w:p>
    <w:p>
      <w:pPr>
        <w:pStyle w:val="Normal"/>
        <w:widowControl w:val="false"/>
        <w:autoSpaceDE w:val="false"/>
        <w:spacing w:lineRule="atLeast" w:line="240"/>
        <w:rPr>
          <w:rFonts w:ascii="Courier" w:hAnsi="Courier" w:cs="Arial"/>
          <w:color w:val="000000"/>
          <w:sz w:val="20"/>
          <w:szCs w:val="20"/>
        </w:rPr>
      </w:pPr>
      <w:r>
        <w:rPr>
          <w:rFonts w:cs="Arial" w:ascii="Courier" w:hAnsi="Courier"/>
          <w:color w:val="000000"/>
          <w:sz w:val="20"/>
          <w:szCs w:val="20"/>
        </w:rPr>
        <w:t>&gt;</w:t>
      </w:r>
    </w:p>
    <w:p>
      <w:pPr>
        <w:pStyle w:val="Normal"/>
        <w:widowControl w:val="false"/>
        <w:autoSpaceDE w:val="false"/>
        <w:spacing w:lineRule="atLeast" w:line="240"/>
        <w:rPr>
          <w:rFonts w:ascii="Courier" w:hAnsi="Courier" w:cs="Arial"/>
          <w:color w:val="000000"/>
          <w:sz w:val="20"/>
          <w:szCs w:val="20"/>
        </w:rPr>
      </w:pPr>
      <w:r>
        <w:rPr>
          <w:rFonts w:cs="Arial" w:ascii="Courier" w:hAnsi="Courier"/>
          <w:color w:val="000000"/>
          <w:sz w:val="20"/>
          <w:szCs w:val="20"/>
        </w:rPr>
        <w:t>&gt; The Unscheduled Demand Penalty was ordered by FERC in its December 15,</w:t>
      </w:r>
    </w:p>
    <w:p>
      <w:pPr>
        <w:pStyle w:val="Normal"/>
        <w:widowControl w:val="false"/>
        <w:autoSpaceDE w:val="false"/>
        <w:spacing w:lineRule="atLeast" w:line="240"/>
        <w:rPr>
          <w:rFonts w:ascii="Courier" w:hAnsi="Courier" w:cs="Arial"/>
          <w:color w:val="000000"/>
          <w:sz w:val="20"/>
          <w:szCs w:val="20"/>
        </w:rPr>
      </w:pPr>
      <w:r>
        <w:rPr>
          <w:rFonts w:cs="Arial" w:ascii="Courier" w:hAnsi="Courier"/>
          <w:color w:val="000000"/>
          <w:sz w:val="20"/>
          <w:szCs w:val="20"/>
        </w:rPr>
        <w:t>&gt; 2000 order to be effective on January 1, 2001 Trade Date. The ISO is</w:t>
      </w:r>
    </w:p>
    <w:p>
      <w:pPr>
        <w:pStyle w:val="Normal"/>
        <w:widowControl w:val="false"/>
        <w:autoSpaceDE w:val="false"/>
        <w:spacing w:lineRule="atLeast" w:line="240"/>
        <w:rPr>
          <w:rFonts w:ascii="Courier" w:hAnsi="Courier" w:cs="Arial"/>
          <w:color w:val="000000"/>
          <w:sz w:val="20"/>
          <w:szCs w:val="20"/>
        </w:rPr>
      </w:pPr>
      <w:r>
        <w:rPr>
          <w:rFonts w:cs="Arial" w:ascii="Courier" w:hAnsi="Courier"/>
          <w:color w:val="000000"/>
          <w:sz w:val="20"/>
          <w:szCs w:val="20"/>
        </w:rPr>
        <w:t>&gt; filing a request with FERC to suspend this penalty. Additionally SCE and</w:t>
      </w:r>
    </w:p>
    <w:p>
      <w:pPr>
        <w:pStyle w:val="Normal"/>
        <w:widowControl w:val="false"/>
        <w:autoSpaceDE w:val="false"/>
        <w:spacing w:lineRule="atLeast" w:line="240"/>
        <w:rPr>
          <w:rFonts w:ascii="Courier" w:hAnsi="Courier" w:cs="Arial"/>
          <w:color w:val="000000"/>
          <w:sz w:val="20"/>
          <w:szCs w:val="20"/>
        </w:rPr>
      </w:pPr>
      <w:r>
        <w:rPr>
          <w:rFonts w:cs="Arial" w:ascii="Courier" w:hAnsi="Courier"/>
          <w:color w:val="000000"/>
          <w:sz w:val="20"/>
          <w:szCs w:val="20"/>
        </w:rPr>
        <w:t>&gt; PG&amp;E have jointly filed at FERC requesting suspension of the penalty.</w:t>
      </w:r>
    </w:p>
    <w:p>
      <w:pPr>
        <w:pStyle w:val="Normal"/>
        <w:widowControl w:val="false"/>
        <w:autoSpaceDE w:val="false"/>
        <w:spacing w:lineRule="atLeast" w:line="240"/>
        <w:rPr>
          <w:rFonts w:ascii="Courier" w:hAnsi="Courier" w:cs="Arial"/>
          <w:color w:val="000000"/>
          <w:sz w:val="20"/>
          <w:szCs w:val="20"/>
        </w:rPr>
      </w:pPr>
      <w:r>
        <w:rPr>
          <w:rFonts w:cs="Arial" w:ascii="Courier" w:hAnsi="Courier"/>
          <w:color w:val="000000"/>
          <w:sz w:val="20"/>
          <w:szCs w:val="20"/>
        </w:rPr>
        <w:t>&gt; Until FERC provides direction and clarification, ISO will calculate the</w:t>
      </w:r>
    </w:p>
    <w:p>
      <w:pPr>
        <w:pStyle w:val="Normal"/>
        <w:widowControl w:val="false"/>
        <w:autoSpaceDE w:val="false"/>
        <w:spacing w:lineRule="atLeast" w:line="240"/>
        <w:rPr>
          <w:rFonts w:ascii="Courier" w:hAnsi="Courier" w:cs="Arial"/>
          <w:color w:val="000000"/>
          <w:sz w:val="20"/>
          <w:szCs w:val="20"/>
        </w:rPr>
      </w:pPr>
      <w:r>
        <w:rPr>
          <w:rFonts w:cs="Arial" w:ascii="Courier" w:hAnsi="Courier"/>
          <w:color w:val="000000"/>
          <w:sz w:val="20"/>
          <w:szCs w:val="20"/>
        </w:rPr>
        <w:t>&gt; Unscheduled Demand Penalty charges and credits, but will not include them</w:t>
      </w:r>
    </w:p>
    <w:p>
      <w:pPr>
        <w:pStyle w:val="Normal"/>
        <w:widowControl w:val="false"/>
        <w:autoSpaceDE w:val="false"/>
        <w:spacing w:lineRule="atLeast" w:line="240"/>
        <w:rPr>
          <w:rFonts w:ascii="Courier" w:hAnsi="Courier" w:cs="Arial"/>
          <w:color w:val="000000"/>
          <w:sz w:val="20"/>
          <w:szCs w:val="20"/>
        </w:rPr>
      </w:pPr>
      <w:r>
        <w:rPr>
          <w:rFonts w:cs="Arial" w:ascii="Courier" w:hAnsi="Courier"/>
          <w:color w:val="000000"/>
          <w:sz w:val="20"/>
          <w:szCs w:val="20"/>
        </w:rPr>
        <w:t>&gt; in the settlement statements.  There is no impact to any other charges or</w:t>
      </w:r>
    </w:p>
    <w:p>
      <w:pPr>
        <w:pStyle w:val="Normal"/>
        <w:widowControl w:val="false"/>
        <w:autoSpaceDE w:val="false"/>
        <w:spacing w:lineRule="atLeast" w:line="240"/>
        <w:rPr>
          <w:rFonts w:ascii="Courier" w:hAnsi="Courier" w:cs="Arial"/>
          <w:color w:val="000000"/>
          <w:sz w:val="20"/>
          <w:szCs w:val="20"/>
        </w:rPr>
      </w:pPr>
      <w:r>
        <w:rPr>
          <w:rFonts w:cs="Arial" w:ascii="Courier" w:hAnsi="Courier"/>
          <w:color w:val="000000"/>
          <w:sz w:val="20"/>
          <w:szCs w:val="20"/>
        </w:rPr>
        <w:t>&gt; payments since the penalty and the allocation of the proceeds is self</w:t>
      </w:r>
    </w:p>
    <w:p>
      <w:pPr>
        <w:pStyle w:val="Normal"/>
        <w:widowControl w:val="false"/>
        <w:autoSpaceDE w:val="false"/>
        <w:spacing w:lineRule="atLeast" w:line="240"/>
        <w:rPr>
          <w:rFonts w:ascii="Courier" w:hAnsi="Courier" w:cs="Arial"/>
          <w:color w:val="000000"/>
          <w:sz w:val="20"/>
          <w:szCs w:val="20"/>
        </w:rPr>
      </w:pPr>
      <w:r>
        <w:rPr>
          <w:rFonts w:cs="Arial" w:ascii="Courier" w:hAnsi="Courier"/>
          <w:color w:val="000000"/>
          <w:sz w:val="20"/>
          <w:szCs w:val="20"/>
        </w:rPr>
        <w:t>&gt; contained.</w:t>
      </w:r>
    </w:p>
    <w:p>
      <w:pPr>
        <w:pStyle w:val="Normal"/>
        <w:widowControl w:val="false"/>
        <w:autoSpaceDE w:val="false"/>
        <w:spacing w:lineRule="atLeast" w:line="240"/>
        <w:rPr>
          <w:rFonts w:ascii="Courier" w:hAnsi="Courier" w:cs="Arial"/>
          <w:color w:val="000000"/>
          <w:sz w:val="20"/>
          <w:szCs w:val="20"/>
        </w:rPr>
      </w:pPr>
      <w:r>
        <w:rPr>
          <w:rFonts w:cs="Arial" w:ascii="Courier" w:hAnsi="Courier"/>
          <w:color w:val="000000"/>
          <w:sz w:val="20"/>
          <w:szCs w:val="20"/>
        </w:rPr>
        <w:t>&gt;</w:t>
      </w:r>
    </w:p>
    <w:p>
      <w:pPr>
        <w:pStyle w:val="Normal"/>
        <w:widowControl w:val="false"/>
        <w:autoSpaceDE w:val="false"/>
        <w:spacing w:lineRule="atLeast" w:line="240"/>
        <w:rPr>
          <w:rFonts w:ascii="Courier" w:hAnsi="Courier" w:cs="Arial"/>
          <w:color w:val="000000"/>
          <w:sz w:val="20"/>
          <w:szCs w:val="20"/>
        </w:rPr>
      </w:pPr>
      <w:r>
        <w:rPr>
          <w:rFonts w:cs="Arial" w:ascii="Courier" w:hAnsi="Courier"/>
          <w:color w:val="000000"/>
          <w:sz w:val="20"/>
          <w:szCs w:val="20"/>
        </w:rPr>
        <w:t>&gt; Attached is a description of the Unscheduled Demand Penalty.</w:t>
      </w:r>
    </w:p>
    <w:p>
      <w:pPr>
        <w:pStyle w:val="Normal"/>
        <w:widowControl w:val="false"/>
        <w:autoSpaceDE w:val="false"/>
        <w:spacing w:lineRule="atLeast" w:line="240"/>
        <w:rPr>
          <w:rFonts w:ascii="Courier" w:hAnsi="Courier" w:cs="Arial"/>
          <w:color w:val="000000"/>
          <w:sz w:val="20"/>
          <w:szCs w:val="20"/>
        </w:rPr>
      </w:pPr>
      <w:r>
        <w:rPr>
          <w:rFonts w:cs="Arial" w:ascii="Courier" w:hAnsi="Courier"/>
          <w:color w:val="000000"/>
          <w:sz w:val="20"/>
          <w:szCs w:val="20"/>
        </w:rPr>
        <w:t>&gt;</w:t>
      </w:r>
    </w:p>
    <w:p>
      <w:pPr>
        <w:pStyle w:val="Normal"/>
        <w:widowControl w:val="false"/>
        <w:autoSpaceDE w:val="false"/>
        <w:spacing w:lineRule="atLeast" w:line="240"/>
        <w:rPr>
          <w:rFonts w:ascii="Courier" w:hAnsi="Courier" w:cs="Arial"/>
          <w:color w:val="000000"/>
          <w:sz w:val="20"/>
          <w:szCs w:val="20"/>
        </w:rPr>
      </w:pPr>
      <w:r>
        <w:rPr>
          <w:rFonts w:cs="Arial" w:ascii="Courier" w:hAnsi="Courier"/>
          <w:color w:val="000000"/>
          <w:sz w:val="20"/>
          <w:szCs w:val="20"/>
        </w:rPr>
        <w:t>&gt;  &lt;&lt;Unscheduled Demand Penalty.doc&gt;&gt;</w:t>
      </w:r>
    </w:p>
    <w:p>
      <w:pPr>
        <w:pStyle w:val="Normal"/>
        <w:widowControl w:val="false"/>
        <w:autoSpaceDE w:val="false"/>
        <w:spacing w:lineRule="atLeast" w:line="240"/>
        <w:rPr>
          <w:rFonts w:ascii="Courier" w:hAnsi="Courier" w:cs="Arial"/>
          <w:color w:val="000000"/>
          <w:sz w:val="20"/>
          <w:szCs w:val="20"/>
        </w:rPr>
      </w:pPr>
      <w:r>
        <w:rPr>
          <w:rFonts w:cs="Arial" w:ascii="Courier" w:hAnsi="Courier"/>
          <w:color w:val="000000"/>
          <w:sz w:val="20"/>
          <w:szCs w:val="20"/>
        </w:rPr>
        <w:t>&gt;</w:t>
      </w:r>
    </w:p>
    <w:p>
      <w:pPr>
        <w:pStyle w:val="Normal"/>
        <w:widowControl w:val="false"/>
        <w:autoSpaceDE w:val="false"/>
        <w:spacing w:lineRule="atLeast" w:line="240"/>
        <w:rPr>
          <w:rFonts w:ascii="Courier" w:hAnsi="Courier" w:cs="Arial"/>
          <w:color w:val="000000"/>
          <w:sz w:val="20"/>
          <w:szCs w:val="20"/>
        </w:rPr>
      </w:pPr>
      <w:r>
        <w:rPr>
          <w:rFonts w:cs="Arial" w:ascii="Courier" w:hAnsi="Courier"/>
          <w:color w:val="000000"/>
          <w:sz w:val="20"/>
          <w:szCs w:val="20"/>
        </w:rPr>
        <w:t>&gt;</w:t>
      </w:r>
    </w:p>
    <w:p>
      <w:pPr>
        <w:pStyle w:val="Normal"/>
        <w:widowControl w:val="false"/>
        <w:autoSpaceDE w:val="false"/>
        <w:spacing w:lineRule="atLeast" w:line="240"/>
        <w:rPr>
          <w:rFonts w:ascii="Courier" w:hAnsi="Courier" w:cs="Arial"/>
          <w:color w:val="000000"/>
          <w:sz w:val="20"/>
          <w:szCs w:val="20"/>
        </w:rPr>
      </w:pPr>
      <w:r>
        <w:rPr>
          <w:rFonts w:cs="Arial" w:ascii="Courier" w:hAnsi="Courier"/>
          <w:color w:val="000000"/>
          <w:sz w:val="20"/>
          <w:szCs w:val="20"/>
        </w:rPr>
        <w:t>&gt; CRCommunications</w:t>
      </w:r>
    </w:p>
    <w:p>
      <w:pPr>
        <w:pStyle w:val="Normal"/>
        <w:widowControl w:val="false"/>
        <w:autoSpaceDE w:val="false"/>
        <w:spacing w:lineRule="atLeast" w:line="240"/>
        <w:rPr>
          <w:rFonts w:ascii="Courier" w:hAnsi="Courier" w:cs="Arial"/>
          <w:color w:val="000000"/>
          <w:sz w:val="20"/>
          <w:szCs w:val="20"/>
        </w:rPr>
      </w:pPr>
      <w:r>
        <w:rPr>
          <w:rFonts w:cs="Arial" w:ascii="Courier" w:hAnsi="Courier"/>
          <w:color w:val="000000"/>
          <w:sz w:val="20"/>
          <w:szCs w:val="20"/>
        </w:rPr>
        <w:t>&gt; Client Relations Communications</w:t>
      </w:r>
    </w:p>
    <w:p>
      <w:pPr>
        <w:pStyle w:val="Normal"/>
        <w:widowControl w:val="false"/>
        <w:autoSpaceDE w:val="false"/>
        <w:spacing w:lineRule="atLeast" w:line="240"/>
        <w:rPr>
          <w:rFonts w:ascii="Courier" w:hAnsi="Courier" w:cs="Arial"/>
          <w:color w:val="000000"/>
          <w:sz w:val="20"/>
          <w:szCs w:val="20"/>
        </w:rPr>
      </w:pPr>
      <w:r>
        <w:rPr>
          <w:rFonts w:cs="Arial" w:ascii="Courier" w:hAnsi="Courier"/>
          <w:color w:val="000000"/>
          <w:sz w:val="20"/>
          <w:szCs w:val="20"/>
        </w:rPr>
      </w:r>
    </w:p>
    <w:p>
      <w:pPr>
        <w:pStyle w:val="Normal"/>
        <w:widowControl w:val="false"/>
        <w:autoSpaceDE w:val="false"/>
        <w:spacing w:lineRule="atLeast" w:line="240"/>
        <w:rPr>
          <w:rFonts w:ascii="Helv" w:hAnsi="Helv"/>
          <w:color w:val="000000"/>
          <w:sz w:val="20"/>
          <w:szCs w:val="20"/>
        </w:rPr>
      </w:pPr>
      <w:r>
        <w:rPr>
          <w:rFonts w:eastAsia="Helv" w:cs="Helv" w:ascii="Helv" w:hAnsi="Helv"/>
          <w:color w:val="000000"/>
          <w:sz w:val="20"/>
          <w:szCs w:val="20"/>
        </w:rPr>
        <w:t xml:space="preserve"> </w:t>
      </w:r>
      <w:r>
        <w:rPr>
          <w:rFonts w:cs="Arial" w:ascii="Helv" w:hAnsi="Helv"/>
          <w:color w:val="000000"/>
          <w:sz w:val="20"/>
          <w:szCs w:val="20"/>
        </w:rPr>
        <w:t>- Unscheduled Demand Penalty.doc</w:t>
      </w:r>
    </w:p>
    <w:p>
      <w:pPr>
        <w:pStyle w:val="Normal"/>
        <w:widowControl w:val="false"/>
        <w:tabs>
          <w:tab w:val="clear" w:pos="720"/>
          <w:tab w:val="left" w:pos="1800" w:leader="none"/>
        </w:tabs>
        <w:autoSpaceDE w:val="false"/>
        <w:ind w:hanging="1800" w:start="1800" w:end="0"/>
        <w:rPr>
          <w:rFonts w:ascii="Arial" w:hAnsi="Arial" w:cs="Arial"/>
          <w:color w:val="000000"/>
          <w:sz w:val="20"/>
          <w:szCs w:val="20"/>
        </w:rPr>
      </w:pPr>
      <w:r>
        <w:rPr>
          <w:rFonts w:cs="Arial" w:ascii="Arial" w:hAnsi="Arial"/>
          <w:color w:val="000000"/>
          <w:sz w:val="20"/>
          <w:szCs w:val="20"/>
        </w:rPr>
      </w:r>
      <w:r>
        <w:br w:type="page"/>
      </w:r>
    </w:p>
    <w:p>
      <w:pPr>
        <w:pStyle w:val="BodyText"/>
        <w:jc w:val="center"/>
        <w:rPr>
          <w:rFonts w:ascii="Arial" w:hAnsi="Arial" w:cs="Arial"/>
          <w:b/>
          <w:sz w:val="28"/>
        </w:rPr>
      </w:pPr>
      <w:r>
        <w:rPr>
          <w:rFonts w:cs="Arial" w:ascii="Arial" w:hAnsi="Arial"/>
          <w:b/>
          <w:sz w:val="28"/>
        </w:rPr>
        <w:t>Unscheduled Demand Penalty</w:t>
      </w:r>
    </w:p>
    <w:p>
      <w:pPr>
        <w:pStyle w:val="BodyText"/>
        <w:rPr>
          <w:rFonts w:ascii="Arial" w:hAnsi="Arial" w:cs="Arial"/>
          <w:b/>
          <w:sz w:val="28"/>
        </w:rPr>
      </w:pPr>
      <w:r>
        <w:rPr>
          <w:rFonts w:cs="Arial" w:ascii="Arial" w:hAnsi="Arial"/>
          <w:b/>
          <w:sz w:val="28"/>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The ISO Tariff sections 2.2.13.2.3.1 - 2.2.13.2.3.3 orders this Penalty on Unscheduled Demand.  It is effective beginning trade date 01/01/2001.  The penalty portion of this charge will appear on settlement statements as charge type  (CT) 480 and the allocation will be under CT1480.  These will be calculated by SC, by control area, by hour, and will begin as manual line item entries.  Software to automate this procedure will be developed in the near future.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Conceptually, this penalty is assessed on SCs whose hour ahead scheduled demand is less than their metered demand by more than 5%. Note that the metered demand quantity for this calculation will exclude the instructed deviations.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Specifically, the penalty will be assessed on SCs negative Uninstructed Deviations for load and export (including operational adjustments initiated by the SCs) from final Hour ahead load and export schedules, if the magnitude of the SC’s negative Uninstructed Deviations are over 5% of the sum of their final hour ahead schedules and their Uninstructed Deviations.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Example: If a SC schedules 920 MWh of load and export and the SCs total Uninstructed Deviation for load and export is -80 MWh (indicating an over consumption), then the SC will be charged a penalty on the -80 MWh since the magnitude of the Uninstructed deviation is greater than 5%  (80 / 1000 =8%). </w:t>
      </w:r>
    </w:p>
    <w:p>
      <w:pPr>
        <w:pStyle w:val="Normal"/>
        <w:rPr>
          <w:rFonts w:ascii="Arial" w:hAnsi="Arial" w:cs="Arial"/>
        </w:rPr>
      </w:pPr>
      <w:r>
        <w:rPr>
          <w:rFonts w:cs="Arial" w:ascii="Arial" w:hAnsi="Arial"/>
        </w:rPr>
        <w:t>If a SC schedules 970 MWh of demand and the SC’s total Uninstructed Demand Deviation is -30 MWh, the SC will not be charged a penalty (30/1000 = 3%).</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An exception to this is if a SC’s metered Demand is less than 200 MWh.  In these instances, the penalty will be assessed if the magnitude of the SC’s Uninstructed Demand Deviation is greater than 10 MWh.</w:t>
      </w:r>
    </w:p>
    <w:p>
      <w:pPr>
        <w:pStyle w:val="Normal"/>
        <w:rPr>
          <w:rFonts w:ascii="Arial" w:hAnsi="Arial" w:cs="Arial"/>
        </w:rPr>
      </w:pPr>
      <w:r>
        <w:rPr>
          <w:rFonts w:cs="Arial" w:ascii="Arial" w:hAnsi="Arial"/>
        </w:rPr>
      </w:r>
    </w:p>
    <w:p>
      <w:pPr>
        <w:pStyle w:val="BodyText"/>
        <w:rPr>
          <w:rFonts w:ascii="Arial" w:hAnsi="Arial" w:cs="Arial"/>
        </w:rPr>
      </w:pPr>
      <w:r>
        <w:rPr>
          <w:rFonts w:cs="Arial" w:ascii="Arial" w:hAnsi="Arial"/>
        </w:rPr>
        <w:t>The penalty price will be the lesser of a) two times the weighted average Price of Imbalance Energy in the control area or  b) $100/MWh.</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weighted average price of imbalance energy purchases in the control area will be calculated by dividing CT 401 total settlement dollars by the total billable quantity in CT 401.  This price will be calculated by ISO and will be provided in the Price field of CT 480 manual line item entry.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CT 1480 is used to allocate the revenues received by the ISO through CT 480.  Such revenues will be allocated to the SCs with a positive Uninstructed Demand Deviation and to those with a negative Uninstructed Demand Deviation with a magnitude less than or equal to 5% of the metered Demand.  These SCs will receive revenues based on the ratio of each SC’s metered demand to the sum of all such SCs metered demand in the control area.</w:t>
      </w:r>
      <w:r>
        <w:br w:type="page"/>
      </w:r>
    </w:p>
    <w:p>
      <w:pPr>
        <w:pStyle w:val="Normal"/>
        <w:rPr>
          <w:rFonts w:ascii="Arial" w:hAnsi="Arial" w:cs="Arial"/>
          <w:b/>
          <w:bCs/>
        </w:rPr>
      </w:pPr>
      <w:r>
        <w:rPr>
          <w:rFonts w:cs="Arial" w:ascii="Arial" w:hAnsi="Arial"/>
          <w:b/>
          <w:bCs/>
        </w:rPr>
        <w:t>Attachment 2.  EPMI’s Net Recievables from the Underscheduling Penalty</w:t>
      </w:r>
      <w:r>
        <w:br w:type="page"/>
      </w:r>
    </w:p>
    <w:p>
      <w:pPr>
        <w:sectPr>
          <w:headerReference w:type="default" r:id="rId3"/>
          <w:type w:val="nextPage"/>
          <w:pgSz w:w="12240" w:h="15840"/>
          <w:pgMar w:left="1800" w:right="1800" w:gutter="0" w:header="720" w:top="1440" w:footer="0" w:bottom="1440"/>
          <w:pgNumType w:fmt="decimal"/>
          <w:formProt w:val="false"/>
          <w:textDirection w:val="lrTb"/>
          <w:docGrid w:type="default" w:linePitch="360" w:charSpace="0"/>
        </w:sectPr>
        <w:pStyle w:val="Normal"/>
        <w:numPr>
          <w:ilvl w:val="0"/>
          <w:numId w:val="0"/>
        </w:numPr>
        <w:rPr>
          <w:rFonts w:ascii="Arial" w:hAnsi="Arial" w:cs="Arial"/>
          <w:b/>
          <w:bCs/>
        </w:rPr>
      </w:pPr>
      <w:r>
        <w:rPr>
          <w:rFonts w:cs="Arial" w:ascii="Arial" w:hAnsi="Arial"/>
          <w:b/>
          <w:bCs/>
        </w:rPr>
      </w:r>
    </w:p>
    <w:tbl>
      <w:tblPr>
        <w:tblW w:w="14296" w:type="dxa"/>
        <w:jc w:val="start"/>
        <w:tblInd w:w="0" w:type="dxa"/>
        <w:tblLayout w:type="fixed"/>
        <w:tblCellMar>
          <w:top w:w="0" w:type="dxa"/>
          <w:start w:w="0" w:type="dxa"/>
          <w:bottom w:w="0" w:type="dxa"/>
          <w:end w:w="0" w:type="dxa"/>
        </w:tblCellMar>
      </w:tblPr>
      <w:tblGrid>
        <w:gridCol w:w="976"/>
        <w:gridCol w:w="1496"/>
        <w:gridCol w:w="976"/>
        <w:gridCol w:w="3116"/>
        <w:gridCol w:w="1376"/>
        <w:gridCol w:w="976"/>
        <w:gridCol w:w="976"/>
        <w:gridCol w:w="1316"/>
        <w:gridCol w:w="976"/>
        <w:gridCol w:w="976"/>
        <w:gridCol w:w="1136"/>
      </w:tblGrid>
      <w:tr>
        <w:trPr>
          <w:trHeight w:val="255" w:hRule="atLeast"/>
        </w:trPr>
        <w:tc>
          <w:tcPr>
            <w:tcW w:w="976" w:type="dxa"/>
            <w:tcBorders/>
            <w:vAlign w:val="bottom"/>
          </w:tcPr>
          <w:p>
            <w:pPr>
              <w:pStyle w:val="Normal"/>
              <w:jc w:val="end"/>
              <w:rPr>
                <w:rFonts w:ascii="Arial" w:hAnsi="Arial" w:eastAsia="Arial Unicode MS" w:cs="Arial"/>
                <w:b/>
                <w:bCs/>
                <w:sz w:val="20"/>
                <w:szCs w:val="20"/>
              </w:rPr>
            </w:pPr>
            <w:r>
              <w:rPr>
                <w:rFonts w:cs="Arial" w:ascii="Arial" w:hAnsi="Arial"/>
                <w:b/>
                <w:bCs/>
                <w:sz w:val="20"/>
                <w:szCs w:val="20"/>
              </w:rPr>
              <w:t>1/1/01</w:t>
            </w:r>
          </w:p>
        </w:tc>
        <w:tc>
          <w:tcPr>
            <w:tcW w:w="1496" w:type="dxa"/>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(349,603.48)</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116" w:type="dxa"/>
            <w:tcBorders/>
            <w:vAlign w:val="bottom"/>
          </w:tcPr>
          <w:p>
            <w:pPr>
              <w:pStyle w:val="Normal"/>
              <w:jc w:val="end"/>
              <w:rPr>
                <w:rFonts w:ascii="Arial" w:hAnsi="Arial" w:eastAsia="Arial Unicode MS" w:cs="Arial"/>
                <w:b/>
                <w:bCs/>
                <w:sz w:val="20"/>
                <w:szCs w:val="20"/>
              </w:rPr>
            </w:pPr>
            <w:r>
              <w:rPr>
                <w:rFonts w:cs="Arial" w:ascii="Arial" w:hAnsi="Arial"/>
                <w:b/>
                <w:bCs/>
                <w:sz w:val="20"/>
                <w:szCs w:val="20"/>
              </w:rPr>
              <w:t>2/1/01</w:t>
            </w:r>
          </w:p>
        </w:tc>
        <w:tc>
          <w:tcPr>
            <w:tcW w:w="1376" w:type="dxa"/>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(209,662.43)</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vAlign w:val="bottom"/>
          </w:tcPr>
          <w:p>
            <w:pPr>
              <w:pStyle w:val="Normal"/>
              <w:jc w:val="end"/>
              <w:rPr>
                <w:rFonts w:ascii="Arial" w:hAnsi="Arial" w:eastAsia="Arial Unicode MS" w:cs="Arial"/>
                <w:b/>
                <w:bCs/>
                <w:sz w:val="20"/>
                <w:szCs w:val="20"/>
              </w:rPr>
            </w:pPr>
            <w:r>
              <w:rPr>
                <w:rFonts w:cs="Arial" w:ascii="Arial" w:hAnsi="Arial"/>
                <w:b/>
                <w:bCs/>
                <w:sz w:val="20"/>
                <w:szCs w:val="20"/>
              </w:rPr>
              <w:t>3/1/01</w:t>
            </w:r>
          </w:p>
        </w:tc>
        <w:tc>
          <w:tcPr>
            <w:tcW w:w="1316" w:type="dxa"/>
            <w:tcBorders/>
            <w:vAlign w:val="bottom"/>
          </w:tcPr>
          <w:p>
            <w:pPr>
              <w:pStyle w:val="Normal"/>
              <w:jc w:val="end"/>
              <w:rPr>
                <w:rFonts w:ascii="Arial" w:hAnsi="Arial" w:eastAsia="Arial Unicode MS" w:cs="Arial"/>
                <w:sz w:val="20"/>
                <w:szCs w:val="20"/>
              </w:rPr>
            </w:pPr>
            <w:r>
              <w:rPr>
                <w:rFonts w:cs="Arial" w:ascii="Arial" w:hAnsi="Arial"/>
                <w:sz w:val="20"/>
                <w:szCs w:val="20"/>
              </w:rPr>
              <w:t xml:space="preserve">215,279.88 </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vAlign w:val="bottom"/>
          </w:tcPr>
          <w:p>
            <w:pPr>
              <w:pStyle w:val="Normal"/>
              <w:jc w:val="end"/>
              <w:rPr>
                <w:rFonts w:ascii="Arial" w:hAnsi="Arial" w:eastAsia="Arial Unicode MS" w:cs="Arial"/>
                <w:b/>
                <w:bCs/>
                <w:sz w:val="20"/>
                <w:szCs w:val="20"/>
              </w:rPr>
            </w:pPr>
            <w:r>
              <w:rPr>
                <w:rFonts w:cs="Arial" w:ascii="Arial" w:hAnsi="Arial"/>
                <w:b/>
                <w:bCs/>
                <w:sz w:val="20"/>
                <w:szCs w:val="20"/>
              </w:rPr>
              <w:t>4/1/01</w:t>
            </w:r>
          </w:p>
        </w:tc>
        <w:tc>
          <w:tcPr>
            <w:tcW w:w="1136" w:type="dxa"/>
            <w:tcBorders/>
            <w:vAlign w:val="bottom"/>
          </w:tcPr>
          <w:p>
            <w:pPr>
              <w:pStyle w:val="Normal"/>
              <w:jc w:val="end"/>
              <w:rPr>
                <w:rFonts w:ascii="Arial" w:hAnsi="Arial" w:eastAsia="Arial Unicode MS" w:cs="Arial"/>
                <w:sz w:val="20"/>
                <w:szCs w:val="20"/>
              </w:rPr>
            </w:pPr>
            <w:r>
              <w:rPr>
                <w:rFonts w:cs="Arial" w:ascii="Arial" w:hAnsi="Arial"/>
                <w:sz w:val="20"/>
                <w:szCs w:val="20"/>
              </w:rPr>
              <w:t xml:space="preserve">32,814.50 </w:t>
            </w:r>
          </w:p>
        </w:tc>
      </w:tr>
      <w:tr>
        <w:trPr>
          <w:trHeight w:val="255" w:hRule="atLeast"/>
        </w:trPr>
        <w:tc>
          <w:tcPr>
            <w:tcW w:w="976" w:type="dxa"/>
            <w:tcBorders/>
            <w:vAlign w:val="bottom"/>
          </w:tcPr>
          <w:p>
            <w:pPr>
              <w:pStyle w:val="Normal"/>
              <w:jc w:val="end"/>
              <w:rPr>
                <w:rFonts w:ascii="Arial" w:hAnsi="Arial" w:eastAsia="Arial Unicode MS" w:cs="Arial"/>
                <w:b/>
                <w:bCs/>
                <w:sz w:val="20"/>
                <w:szCs w:val="20"/>
              </w:rPr>
            </w:pPr>
            <w:r>
              <w:rPr>
                <w:rFonts w:cs="Arial" w:ascii="Arial" w:hAnsi="Arial"/>
                <w:b/>
                <w:bCs/>
                <w:sz w:val="20"/>
                <w:szCs w:val="20"/>
              </w:rPr>
              <w:t>1/2/01</w:t>
            </w:r>
          </w:p>
        </w:tc>
        <w:tc>
          <w:tcPr>
            <w:tcW w:w="1496" w:type="dxa"/>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(1,045,627.23)</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116" w:type="dxa"/>
            <w:tcBorders/>
            <w:vAlign w:val="bottom"/>
          </w:tcPr>
          <w:p>
            <w:pPr>
              <w:pStyle w:val="Normal"/>
              <w:jc w:val="end"/>
              <w:rPr>
                <w:rFonts w:ascii="Arial" w:hAnsi="Arial" w:eastAsia="Arial Unicode MS" w:cs="Arial"/>
                <w:b/>
                <w:bCs/>
                <w:sz w:val="20"/>
                <w:szCs w:val="20"/>
              </w:rPr>
            </w:pPr>
            <w:r>
              <w:rPr>
                <w:rFonts w:cs="Arial" w:ascii="Arial" w:hAnsi="Arial"/>
                <w:b/>
                <w:bCs/>
                <w:sz w:val="20"/>
                <w:szCs w:val="20"/>
              </w:rPr>
              <w:t>2/2/01</w:t>
            </w:r>
          </w:p>
        </w:tc>
        <w:tc>
          <w:tcPr>
            <w:tcW w:w="1376" w:type="dxa"/>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(75,400.51)</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vAlign w:val="bottom"/>
          </w:tcPr>
          <w:p>
            <w:pPr>
              <w:pStyle w:val="Normal"/>
              <w:jc w:val="end"/>
              <w:rPr>
                <w:rFonts w:ascii="Arial" w:hAnsi="Arial" w:eastAsia="Arial Unicode MS" w:cs="Arial"/>
                <w:b/>
                <w:bCs/>
                <w:sz w:val="20"/>
                <w:szCs w:val="20"/>
              </w:rPr>
            </w:pPr>
            <w:r>
              <w:rPr>
                <w:rFonts w:cs="Arial" w:ascii="Arial" w:hAnsi="Arial"/>
                <w:b/>
                <w:bCs/>
                <w:sz w:val="20"/>
                <w:szCs w:val="20"/>
              </w:rPr>
              <w:t>3/2/01</w:t>
            </w:r>
          </w:p>
        </w:tc>
        <w:tc>
          <w:tcPr>
            <w:tcW w:w="1316" w:type="dxa"/>
            <w:tcBorders/>
            <w:vAlign w:val="bottom"/>
          </w:tcPr>
          <w:p>
            <w:pPr>
              <w:pStyle w:val="Normal"/>
              <w:jc w:val="end"/>
              <w:rPr>
                <w:rFonts w:ascii="Arial" w:hAnsi="Arial" w:eastAsia="Arial Unicode MS" w:cs="Arial"/>
                <w:sz w:val="20"/>
                <w:szCs w:val="20"/>
              </w:rPr>
            </w:pPr>
            <w:r>
              <w:rPr>
                <w:rFonts w:cs="Arial" w:ascii="Arial" w:hAnsi="Arial"/>
                <w:sz w:val="20"/>
                <w:szCs w:val="20"/>
              </w:rPr>
              <w:t xml:space="preserve">59,150.98 </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vAlign w:val="bottom"/>
          </w:tcPr>
          <w:p>
            <w:pPr>
              <w:pStyle w:val="Normal"/>
              <w:jc w:val="end"/>
              <w:rPr>
                <w:rFonts w:ascii="Arial" w:hAnsi="Arial" w:eastAsia="Arial Unicode MS" w:cs="Arial"/>
                <w:b/>
                <w:bCs/>
                <w:sz w:val="20"/>
                <w:szCs w:val="20"/>
              </w:rPr>
            </w:pPr>
            <w:r>
              <w:rPr>
                <w:rFonts w:cs="Arial" w:ascii="Arial" w:hAnsi="Arial"/>
                <w:b/>
                <w:bCs/>
                <w:sz w:val="20"/>
                <w:szCs w:val="20"/>
              </w:rPr>
              <w:t>4/2/01</w:t>
            </w:r>
          </w:p>
        </w:tc>
        <w:tc>
          <w:tcPr>
            <w:tcW w:w="1136" w:type="dxa"/>
            <w:tcBorders/>
            <w:vAlign w:val="bottom"/>
          </w:tcPr>
          <w:p>
            <w:pPr>
              <w:pStyle w:val="Normal"/>
              <w:jc w:val="end"/>
              <w:rPr>
                <w:rFonts w:ascii="Arial" w:hAnsi="Arial" w:eastAsia="Arial Unicode MS" w:cs="Arial"/>
                <w:sz w:val="20"/>
                <w:szCs w:val="20"/>
              </w:rPr>
            </w:pPr>
            <w:r>
              <w:rPr>
                <w:rFonts w:cs="Arial" w:ascii="Arial" w:hAnsi="Arial"/>
                <w:sz w:val="20"/>
                <w:szCs w:val="20"/>
              </w:rPr>
              <w:t xml:space="preserve">76,871.13 </w:t>
            </w:r>
          </w:p>
        </w:tc>
      </w:tr>
      <w:tr>
        <w:trPr>
          <w:trHeight w:val="255" w:hRule="atLeast"/>
        </w:trPr>
        <w:tc>
          <w:tcPr>
            <w:tcW w:w="976" w:type="dxa"/>
            <w:tcBorders/>
            <w:vAlign w:val="bottom"/>
          </w:tcPr>
          <w:p>
            <w:pPr>
              <w:pStyle w:val="Normal"/>
              <w:jc w:val="end"/>
              <w:rPr>
                <w:rFonts w:ascii="Arial" w:hAnsi="Arial" w:eastAsia="Arial Unicode MS" w:cs="Arial"/>
                <w:b/>
                <w:bCs/>
                <w:sz w:val="20"/>
                <w:szCs w:val="20"/>
              </w:rPr>
            </w:pPr>
            <w:r>
              <w:rPr>
                <w:rFonts w:cs="Arial" w:ascii="Arial" w:hAnsi="Arial"/>
                <w:b/>
                <w:bCs/>
                <w:sz w:val="20"/>
                <w:szCs w:val="20"/>
              </w:rPr>
              <w:t>1/3/01</w:t>
            </w:r>
          </w:p>
        </w:tc>
        <w:tc>
          <w:tcPr>
            <w:tcW w:w="1496" w:type="dxa"/>
            <w:tcBorders/>
            <w:vAlign w:val="bottom"/>
          </w:tcPr>
          <w:p>
            <w:pPr>
              <w:pStyle w:val="Normal"/>
              <w:jc w:val="end"/>
              <w:rPr>
                <w:rFonts w:ascii="Arial" w:hAnsi="Arial" w:eastAsia="Arial Unicode MS" w:cs="Arial"/>
                <w:sz w:val="20"/>
                <w:szCs w:val="20"/>
              </w:rPr>
            </w:pPr>
            <w:r>
              <w:rPr>
                <w:rFonts w:cs="Arial" w:ascii="Arial" w:hAnsi="Arial"/>
                <w:sz w:val="20"/>
                <w:szCs w:val="20"/>
              </w:rPr>
              <w:t xml:space="preserve">303,488.56 </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116" w:type="dxa"/>
            <w:tcBorders/>
            <w:vAlign w:val="bottom"/>
          </w:tcPr>
          <w:p>
            <w:pPr>
              <w:pStyle w:val="Normal"/>
              <w:jc w:val="end"/>
              <w:rPr>
                <w:rFonts w:ascii="Arial" w:hAnsi="Arial" w:eastAsia="Arial Unicode MS" w:cs="Arial"/>
                <w:b/>
                <w:bCs/>
                <w:sz w:val="20"/>
                <w:szCs w:val="20"/>
              </w:rPr>
            </w:pPr>
            <w:r>
              <w:rPr>
                <w:rFonts w:cs="Arial" w:ascii="Arial" w:hAnsi="Arial"/>
                <w:b/>
                <w:bCs/>
                <w:sz w:val="20"/>
                <w:szCs w:val="20"/>
              </w:rPr>
              <w:t>2/3/01</w:t>
            </w:r>
          </w:p>
        </w:tc>
        <w:tc>
          <w:tcPr>
            <w:tcW w:w="1376" w:type="dxa"/>
            <w:tcBorders/>
            <w:vAlign w:val="bottom"/>
          </w:tcPr>
          <w:p>
            <w:pPr>
              <w:pStyle w:val="Normal"/>
              <w:jc w:val="end"/>
              <w:rPr>
                <w:rFonts w:ascii="Arial" w:hAnsi="Arial" w:eastAsia="Arial Unicode MS" w:cs="Arial"/>
                <w:sz w:val="20"/>
                <w:szCs w:val="20"/>
              </w:rPr>
            </w:pPr>
            <w:r>
              <w:rPr>
                <w:rFonts w:cs="Arial" w:ascii="Arial" w:hAnsi="Arial"/>
                <w:sz w:val="20"/>
                <w:szCs w:val="20"/>
              </w:rPr>
              <w:t xml:space="preserve">469,566.49 </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vAlign w:val="bottom"/>
          </w:tcPr>
          <w:p>
            <w:pPr>
              <w:pStyle w:val="Normal"/>
              <w:jc w:val="end"/>
              <w:rPr>
                <w:rFonts w:ascii="Arial" w:hAnsi="Arial" w:eastAsia="Arial Unicode MS" w:cs="Arial"/>
                <w:b/>
                <w:bCs/>
                <w:sz w:val="20"/>
                <w:szCs w:val="20"/>
              </w:rPr>
            </w:pPr>
            <w:r>
              <w:rPr>
                <w:rFonts w:cs="Arial" w:ascii="Arial" w:hAnsi="Arial"/>
                <w:b/>
                <w:bCs/>
                <w:sz w:val="20"/>
                <w:szCs w:val="20"/>
              </w:rPr>
              <w:t>3/3/01</w:t>
            </w:r>
          </w:p>
        </w:tc>
        <w:tc>
          <w:tcPr>
            <w:tcW w:w="1316" w:type="dxa"/>
            <w:tcBorders/>
            <w:vAlign w:val="bottom"/>
          </w:tcPr>
          <w:p>
            <w:pPr>
              <w:pStyle w:val="Normal"/>
              <w:jc w:val="end"/>
              <w:rPr>
                <w:rFonts w:ascii="Arial" w:hAnsi="Arial" w:eastAsia="Arial Unicode MS" w:cs="Arial"/>
                <w:sz w:val="20"/>
                <w:szCs w:val="20"/>
              </w:rPr>
            </w:pPr>
            <w:r>
              <w:rPr>
                <w:rFonts w:cs="Arial" w:ascii="Arial" w:hAnsi="Arial"/>
                <w:sz w:val="20"/>
                <w:szCs w:val="20"/>
              </w:rPr>
              <w:t xml:space="preserve">107,925.92 </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vAlign w:val="bottom"/>
          </w:tcPr>
          <w:p>
            <w:pPr>
              <w:pStyle w:val="Normal"/>
              <w:jc w:val="end"/>
              <w:rPr>
                <w:rFonts w:ascii="Arial" w:hAnsi="Arial" w:eastAsia="Arial Unicode MS" w:cs="Arial"/>
                <w:b/>
                <w:bCs/>
                <w:sz w:val="20"/>
                <w:szCs w:val="20"/>
              </w:rPr>
            </w:pPr>
            <w:r>
              <w:rPr>
                <w:rFonts w:cs="Arial" w:ascii="Arial" w:hAnsi="Arial"/>
                <w:b/>
                <w:bCs/>
                <w:sz w:val="20"/>
                <w:szCs w:val="20"/>
              </w:rPr>
              <w:t>4/3/01</w:t>
            </w:r>
          </w:p>
        </w:tc>
        <w:tc>
          <w:tcPr>
            <w:tcW w:w="1136" w:type="dxa"/>
            <w:tcBorders/>
            <w:vAlign w:val="bottom"/>
          </w:tcPr>
          <w:p>
            <w:pPr>
              <w:pStyle w:val="Normal"/>
              <w:jc w:val="end"/>
              <w:rPr>
                <w:rFonts w:ascii="Arial" w:hAnsi="Arial" w:eastAsia="Arial Unicode MS" w:cs="Arial"/>
                <w:sz w:val="20"/>
                <w:szCs w:val="20"/>
              </w:rPr>
            </w:pPr>
            <w:r>
              <w:rPr>
                <w:rFonts w:cs="Arial" w:ascii="Arial" w:hAnsi="Arial"/>
                <w:sz w:val="20"/>
                <w:szCs w:val="20"/>
              </w:rPr>
              <w:t xml:space="preserve">60,581.22 </w:t>
            </w:r>
          </w:p>
        </w:tc>
      </w:tr>
      <w:tr>
        <w:trPr>
          <w:trHeight w:val="255" w:hRule="atLeast"/>
        </w:trPr>
        <w:tc>
          <w:tcPr>
            <w:tcW w:w="976" w:type="dxa"/>
            <w:tcBorders/>
            <w:vAlign w:val="bottom"/>
          </w:tcPr>
          <w:p>
            <w:pPr>
              <w:pStyle w:val="Normal"/>
              <w:jc w:val="end"/>
              <w:rPr>
                <w:rFonts w:ascii="Arial" w:hAnsi="Arial" w:eastAsia="Arial Unicode MS" w:cs="Arial"/>
                <w:b/>
                <w:bCs/>
                <w:sz w:val="20"/>
                <w:szCs w:val="20"/>
              </w:rPr>
            </w:pPr>
            <w:r>
              <w:rPr>
                <w:rFonts w:cs="Arial" w:ascii="Arial" w:hAnsi="Arial"/>
                <w:b/>
                <w:bCs/>
                <w:sz w:val="20"/>
                <w:szCs w:val="20"/>
              </w:rPr>
              <w:t>1/4/01</w:t>
            </w:r>
          </w:p>
        </w:tc>
        <w:tc>
          <w:tcPr>
            <w:tcW w:w="1496" w:type="dxa"/>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(857,022.30)</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116" w:type="dxa"/>
            <w:tcBorders/>
            <w:vAlign w:val="bottom"/>
          </w:tcPr>
          <w:p>
            <w:pPr>
              <w:pStyle w:val="Normal"/>
              <w:jc w:val="end"/>
              <w:rPr>
                <w:rFonts w:ascii="Arial" w:hAnsi="Arial" w:eastAsia="Arial Unicode MS" w:cs="Arial"/>
                <w:b/>
                <w:bCs/>
                <w:sz w:val="20"/>
                <w:szCs w:val="20"/>
              </w:rPr>
            </w:pPr>
            <w:r>
              <w:rPr>
                <w:rFonts w:cs="Arial" w:ascii="Arial" w:hAnsi="Arial"/>
                <w:b/>
                <w:bCs/>
                <w:sz w:val="20"/>
                <w:szCs w:val="20"/>
              </w:rPr>
              <w:t>2/4/01</w:t>
            </w:r>
          </w:p>
        </w:tc>
        <w:tc>
          <w:tcPr>
            <w:tcW w:w="1376" w:type="dxa"/>
            <w:tcBorders/>
            <w:vAlign w:val="bottom"/>
          </w:tcPr>
          <w:p>
            <w:pPr>
              <w:pStyle w:val="Normal"/>
              <w:jc w:val="end"/>
              <w:rPr>
                <w:rFonts w:ascii="Arial" w:hAnsi="Arial" w:eastAsia="Arial Unicode MS" w:cs="Arial"/>
                <w:sz w:val="20"/>
                <w:szCs w:val="20"/>
              </w:rPr>
            </w:pPr>
            <w:r>
              <w:rPr>
                <w:rFonts w:cs="Arial" w:ascii="Arial" w:hAnsi="Arial"/>
                <w:sz w:val="20"/>
                <w:szCs w:val="20"/>
              </w:rPr>
              <w:t xml:space="preserve">477,039.06 </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vAlign w:val="bottom"/>
          </w:tcPr>
          <w:p>
            <w:pPr>
              <w:pStyle w:val="Normal"/>
              <w:jc w:val="end"/>
              <w:rPr>
                <w:rFonts w:ascii="Arial" w:hAnsi="Arial" w:eastAsia="Arial Unicode MS" w:cs="Arial"/>
                <w:b/>
                <w:bCs/>
                <w:sz w:val="20"/>
                <w:szCs w:val="20"/>
              </w:rPr>
            </w:pPr>
            <w:r>
              <w:rPr>
                <w:rFonts w:cs="Arial" w:ascii="Arial" w:hAnsi="Arial"/>
                <w:b/>
                <w:bCs/>
                <w:sz w:val="20"/>
                <w:szCs w:val="20"/>
              </w:rPr>
              <w:t>3/4/01</w:t>
            </w:r>
          </w:p>
        </w:tc>
        <w:tc>
          <w:tcPr>
            <w:tcW w:w="1316" w:type="dxa"/>
            <w:tcBorders/>
            <w:vAlign w:val="bottom"/>
          </w:tcPr>
          <w:p>
            <w:pPr>
              <w:pStyle w:val="Normal"/>
              <w:jc w:val="end"/>
              <w:rPr>
                <w:rFonts w:ascii="Arial" w:hAnsi="Arial" w:eastAsia="Arial Unicode MS" w:cs="Arial"/>
                <w:sz w:val="20"/>
                <w:szCs w:val="20"/>
              </w:rPr>
            </w:pPr>
            <w:r>
              <w:rPr>
                <w:rFonts w:cs="Arial" w:ascii="Arial" w:hAnsi="Arial"/>
                <w:sz w:val="20"/>
                <w:szCs w:val="20"/>
              </w:rPr>
              <w:t xml:space="preserve">121,017.90 </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vAlign w:val="bottom"/>
          </w:tcPr>
          <w:p>
            <w:pPr>
              <w:pStyle w:val="Normal"/>
              <w:jc w:val="end"/>
              <w:rPr>
                <w:rFonts w:ascii="Arial" w:hAnsi="Arial" w:eastAsia="Arial Unicode MS" w:cs="Arial"/>
                <w:b/>
                <w:bCs/>
                <w:sz w:val="20"/>
                <w:szCs w:val="20"/>
              </w:rPr>
            </w:pPr>
            <w:r>
              <w:rPr>
                <w:rFonts w:cs="Arial" w:ascii="Arial" w:hAnsi="Arial"/>
                <w:b/>
                <w:bCs/>
                <w:sz w:val="20"/>
                <w:szCs w:val="20"/>
              </w:rPr>
              <w:t>4/4/01</w:t>
            </w:r>
          </w:p>
        </w:tc>
        <w:tc>
          <w:tcPr>
            <w:tcW w:w="1136" w:type="dxa"/>
            <w:tcBorders/>
            <w:vAlign w:val="bottom"/>
          </w:tcPr>
          <w:p>
            <w:pPr>
              <w:pStyle w:val="Normal"/>
              <w:jc w:val="end"/>
              <w:rPr>
                <w:rFonts w:ascii="Arial" w:hAnsi="Arial" w:eastAsia="Arial Unicode MS" w:cs="Arial"/>
                <w:sz w:val="20"/>
                <w:szCs w:val="20"/>
              </w:rPr>
            </w:pPr>
            <w:r>
              <w:rPr>
                <w:rFonts w:cs="Arial" w:ascii="Arial" w:hAnsi="Arial"/>
                <w:sz w:val="20"/>
                <w:szCs w:val="20"/>
              </w:rPr>
              <w:t xml:space="preserve">50,270.15 </w:t>
            </w:r>
          </w:p>
        </w:tc>
      </w:tr>
      <w:tr>
        <w:trPr>
          <w:trHeight w:val="255" w:hRule="atLeast"/>
        </w:trPr>
        <w:tc>
          <w:tcPr>
            <w:tcW w:w="976" w:type="dxa"/>
            <w:tcBorders/>
            <w:vAlign w:val="bottom"/>
          </w:tcPr>
          <w:p>
            <w:pPr>
              <w:pStyle w:val="Normal"/>
              <w:jc w:val="end"/>
              <w:rPr>
                <w:rFonts w:ascii="Arial" w:hAnsi="Arial" w:eastAsia="Arial Unicode MS" w:cs="Arial"/>
                <w:b/>
                <w:bCs/>
                <w:sz w:val="20"/>
                <w:szCs w:val="20"/>
              </w:rPr>
            </w:pPr>
            <w:r>
              <w:rPr>
                <w:rFonts w:cs="Arial" w:ascii="Arial" w:hAnsi="Arial"/>
                <w:b/>
                <w:bCs/>
                <w:sz w:val="20"/>
                <w:szCs w:val="20"/>
              </w:rPr>
              <w:t>1/5/01</w:t>
            </w:r>
          </w:p>
        </w:tc>
        <w:tc>
          <w:tcPr>
            <w:tcW w:w="1496" w:type="dxa"/>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(694,473.82)</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116" w:type="dxa"/>
            <w:tcBorders/>
            <w:vAlign w:val="bottom"/>
          </w:tcPr>
          <w:p>
            <w:pPr>
              <w:pStyle w:val="Normal"/>
              <w:jc w:val="end"/>
              <w:rPr>
                <w:rFonts w:ascii="Arial" w:hAnsi="Arial" w:eastAsia="Arial Unicode MS" w:cs="Arial"/>
                <w:b/>
                <w:bCs/>
                <w:sz w:val="20"/>
                <w:szCs w:val="20"/>
              </w:rPr>
            </w:pPr>
            <w:r>
              <w:rPr>
                <w:rFonts w:cs="Arial" w:ascii="Arial" w:hAnsi="Arial"/>
                <w:b/>
                <w:bCs/>
                <w:sz w:val="20"/>
                <w:szCs w:val="20"/>
              </w:rPr>
              <w:t>2/5/01</w:t>
            </w:r>
          </w:p>
        </w:tc>
        <w:tc>
          <w:tcPr>
            <w:tcW w:w="1376" w:type="dxa"/>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(129,993.08)</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vAlign w:val="bottom"/>
          </w:tcPr>
          <w:p>
            <w:pPr>
              <w:pStyle w:val="Normal"/>
              <w:jc w:val="end"/>
              <w:rPr>
                <w:rFonts w:ascii="Arial" w:hAnsi="Arial" w:eastAsia="Arial Unicode MS" w:cs="Arial"/>
                <w:b/>
                <w:bCs/>
                <w:sz w:val="20"/>
                <w:szCs w:val="20"/>
              </w:rPr>
            </w:pPr>
            <w:r>
              <w:rPr>
                <w:rFonts w:cs="Arial" w:ascii="Arial" w:hAnsi="Arial"/>
                <w:b/>
                <w:bCs/>
                <w:sz w:val="20"/>
                <w:szCs w:val="20"/>
              </w:rPr>
              <w:t>3/5/01</w:t>
            </w:r>
          </w:p>
        </w:tc>
        <w:tc>
          <w:tcPr>
            <w:tcW w:w="1316" w:type="dxa"/>
            <w:tcBorders/>
            <w:vAlign w:val="bottom"/>
          </w:tcPr>
          <w:p>
            <w:pPr>
              <w:pStyle w:val="Normal"/>
              <w:jc w:val="end"/>
              <w:rPr>
                <w:rFonts w:ascii="Arial" w:hAnsi="Arial" w:eastAsia="Arial Unicode MS" w:cs="Arial"/>
                <w:sz w:val="20"/>
                <w:szCs w:val="20"/>
              </w:rPr>
            </w:pPr>
            <w:r>
              <w:rPr>
                <w:rFonts w:cs="Arial" w:ascii="Arial" w:hAnsi="Arial"/>
                <w:sz w:val="20"/>
                <w:szCs w:val="20"/>
              </w:rPr>
              <w:t xml:space="preserve">45,842.28 </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vAlign w:val="bottom"/>
          </w:tcPr>
          <w:p>
            <w:pPr>
              <w:pStyle w:val="Normal"/>
              <w:jc w:val="end"/>
              <w:rPr>
                <w:rFonts w:ascii="Arial" w:hAnsi="Arial" w:eastAsia="Arial Unicode MS" w:cs="Arial"/>
                <w:b/>
                <w:bCs/>
                <w:sz w:val="20"/>
                <w:szCs w:val="20"/>
              </w:rPr>
            </w:pPr>
            <w:r>
              <w:rPr>
                <w:rFonts w:cs="Arial" w:ascii="Arial" w:hAnsi="Arial"/>
                <w:b/>
                <w:bCs/>
                <w:sz w:val="20"/>
                <w:szCs w:val="20"/>
              </w:rPr>
              <w:t>4/5/01</w:t>
            </w:r>
          </w:p>
        </w:tc>
        <w:tc>
          <w:tcPr>
            <w:tcW w:w="1136" w:type="dxa"/>
            <w:tcBorders/>
            <w:vAlign w:val="bottom"/>
          </w:tcPr>
          <w:p>
            <w:pPr>
              <w:pStyle w:val="Normal"/>
              <w:jc w:val="end"/>
              <w:rPr>
                <w:rFonts w:ascii="Arial" w:hAnsi="Arial" w:eastAsia="Arial Unicode MS" w:cs="Arial"/>
                <w:sz w:val="20"/>
                <w:szCs w:val="20"/>
              </w:rPr>
            </w:pPr>
            <w:r>
              <w:rPr>
                <w:rFonts w:cs="Arial" w:ascii="Arial" w:hAnsi="Arial"/>
                <w:sz w:val="20"/>
                <w:szCs w:val="20"/>
              </w:rPr>
              <w:t xml:space="preserve">23,266.65 </w:t>
            </w:r>
          </w:p>
        </w:tc>
      </w:tr>
      <w:tr>
        <w:trPr>
          <w:trHeight w:val="255" w:hRule="atLeast"/>
        </w:trPr>
        <w:tc>
          <w:tcPr>
            <w:tcW w:w="976" w:type="dxa"/>
            <w:tcBorders/>
            <w:vAlign w:val="bottom"/>
          </w:tcPr>
          <w:p>
            <w:pPr>
              <w:pStyle w:val="Normal"/>
              <w:jc w:val="end"/>
              <w:rPr>
                <w:rFonts w:ascii="Arial" w:hAnsi="Arial" w:eastAsia="Arial Unicode MS" w:cs="Arial"/>
                <w:b/>
                <w:bCs/>
                <w:sz w:val="20"/>
                <w:szCs w:val="20"/>
              </w:rPr>
            </w:pPr>
            <w:r>
              <w:rPr>
                <w:rFonts w:cs="Arial" w:ascii="Arial" w:hAnsi="Arial"/>
                <w:b/>
                <w:bCs/>
                <w:sz w:val="20"/>
                <w:szCs w:val="20"/>
              </w:rPr>
              <w:t>1/6/01</w:t>
            </w:r>
          </w:p>
        </w:tc>
        <w:tc>
          <w:tcPr>
            <w:tcW w:w="1496" w:type="dxa"/>
            <w:tcBorders/>
            <w:vAlign w:val="bottom"/>
          </w:tcPr>
          <w:p>
            <w:pPr>
              <w:pStyle w:val="Normal"/>
              <w:jc w:val="end"/>
              <w:rPr>
                <w:rFonts w:ascii="Arial" w:hAnsi="Arial" w:eastAsia="Arial Unicode MS" w:cs="Arial"/>
                <w:sz w:val="20"/>
                <w:szCs w:val="20"/>
              </w:rPr>
            </w:pPr>
            <w:r>
              <w:rPr>
                <w:rFonts w:cs="Arial" w:ascii="Arial" w:hAnsi="Arial"/>
                <w:sz w:val="20"/>
                <w:szCs w:val="20"/>
              </w:rPr>
              <w:t xml:space="preserve">136,526.76 </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116" w:type="dxa"/>
            <w:tcBorders/>
            <w:vAlign w:val="bottom"/>
          </w:tcPr>
          <w:p>
            <w:pPr>
              <w:pStyle w:val="Normal"/>
              <w:jc w:val="end"/>
              <w:rPr>
                <w:rFonts w:ascii="Arial" w:hAnsi="Arial" w:eastAsia="Arial Unicode MS" w:cs="Arial"/>
                <w:b/>
                <w:bCs/>
                <w:sz w:val="20"/>
                <w:szCs w:val="20"/>
              </w:rPr>
            </w:pPr>
            <w:r>
              <w:rPr>
                <w:rFonts w:cs="Arial" w:ascii="Arial" w:hAnsi="Arial"/>
                <w:b/>
                <w:bCs/>
                <w:sz w:val="20"/>
                <w:szCs w:val="20"/>
              </w:rPr>
              <w:t>2/6/01</w:t>
            </w:r>
          </w:p>
        </w:tc>
        <w:tc>
          <w:tcPr>
            <w:tcW w:w="1376" w:type="dxa"/>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(173,913.77)</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vAlign w:val="bottom"/>
          </w:tcPr>
          <w:p>
            <w:pPr>
              <w:pStyle w:val="Normal"/>
              <w:jc w:val="end"/>
              <w:rPr>
                <w:rFonts w:ascii="Arial" w:hAnsi="Arial" w:eastAsia="Arial Unicode MS" w:cs="Arial"/>
                <w:b/>
                <w:bCs/>
                <w:sz w:val="20"/>
                <w:szCs w:val="20"/>
              </w:rPr>
            </w:pPr>
            <w:r>
              <w:rPr>
                <w:rFonts w:cs="Arial" w:ascii="Arial" w:hAnsi="Arial"/>
                <w:b/>
                <w:bCs/>
                <w:sz w:val="20"/>
                <w:szCs w:val="20"/>
              </w:rPr>
              <w:t>3/6/01</w:t>
            </w:r>
          </w:p>
        </w:tc>
        <w:tc>
          <w:tcPr>
            <w:tcW w:w="1316" w:type="dxa"/>
            <w:tcBorders/>
            <w:vAlign w:val="bottom"/>
          </w:tcPr>
          <w:p>
            <w:pPr>
              <w:pStyle w:val="Normal"/>
              <w:jc w:val="end"/>
              <w:rPr>
                <w:rFonts w:ascii="Arial" w:hAnsi="Arial" w:eastAsia="Arial Unicode MS" w:cs="Arial"/>
                <w:sz w:val="20"/>
                <w:szCs w:val="20"/>
              </w:rPr>
            </w:pPr>
            <w:r>
              <w:rPr>
                <w:rFonts w:cs="Arial" w:ascii="Arial" w:hAnsi="Arial"/>
                <w:sz w:val="20"/>
                <w:szCs w:val="20"/>
              </w:rPr>
              <w:t xml:space="preserve">121,567.56 </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vAlign w:val="bottom"/>
          </w:tcPr>
          <w:p>
            <w:pPr>
              <w:pStyle w:val="Normal"/>
              <w:jc w:val="end"/>
              <w:rPr>
                <w:rFonts w:ascii="Arial" w:hAnsi="Arial" w:eastAsia="Arial Unicode MS" w:cs="Arial"/>
                <w:b/>
                <w:bCs/>
                <w:sz w:val="20"/>
                <w:szCs w:val="20"/>
              </w:rPr>
            </w:pPr>
            <w:r>
              <w:rPr>
                <w:rFonts w:cs="Arial" w:ascii="Arial" w:hAnsi="Arial"/>
                <w:b/>
                <w:bCs/>
                <w:sz w:val="20"/>
                <w:szCs w:val="20"/>
              </w:rPr>
              <w:t>4/6/01</w:t>
            </w:r>
          </w:p>
        </w:tc>
        <w:tc>
          <w:tcPr>
            <w:tcW w:w="1136" w:type="dxa"/>
            <w:tcBorders/>
            <w:vAlign w:val="bottom"/>
          </w:tcPr>
          <w:p>
            <w:pPr>
              <w:pStyle w:val="Normal"/>
              <w:jc w:val="end"/>
              <w:rPr>
                <w:rFonts w:ascii="Arial" w:hAnsi="Arial" w:eastAsia="Arial Unicode MS" w:cs="Arial"/>
                <w:sz w:val="20"/>
                <w:szCs w:val="20"/>
              </w:rPr>
            </w:pPr>
            <w:r>
              <w:rPr>
                <w:rFonts w:cs="Arial" w:ascii="Arial" w:hAnsi="Arial"/>
                <w:sz w:val="20"/>
                <w:szCs w:val="20"/>
              </w:rPr>
              <w:t xml:space="preserve">55,253.25 </w:t>
            </w:r>
          </w:p>
        </w:tc>
      </w:tr>
      <w:tr>
        <w:trPr>
          <w:trHeight w:val="255" w:hRule="atLeast"/>
        </w:trPr>
        <w:tc>
          <w:tcPr>
            <w:tcW w:w="976" w:type="dxa"/>
            <w:tcBorders/>
            <w:vAlign w:val="bottom"/>
          </w:tcPr>
          <w:p>
            <w:pPr>
              <w:pStyle w:val="Normal"/>
              <w:jc w:val="end"/>
              <w:rPr>
                <w:rFonts w:ascii="Arial" w:hAnsi="Arial" w:eastAsia="Arial Unicode MS" w:cs="Arial"/>
                <w:b/>
                <w:bCs/>
                <w:sz w:val="20"/>
                <w:szCs w:val="20"/>
              </w:rPr>
            </w:pPr>
            <w:r>
              <w:rPr>
                <w:rFonts w:cs="Arial" w:ascii="Arial" w:hAnsi="Arial"/>
                <w:b/>
                <w:bCs/>
                <w:sz w:val="20"/>
                <w:szCs w:val="20"/>
              </w:rPr>
              <w:t>1/7/01</w:t>
            </w:r>
          </w:p>
        </w:tc>
        <w:tc>
          <w:tcPr>
            <w:tcW w:w="1496" w:type="dxa"/>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(932,753.18)</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116" w:type="dxa"/>
            <w:tcBorders/>
            <w:vAlign w:val="bottom"/>
          </w:tcPr>
          <w:p>
            <w:pPr>
              <w:pStyle w:val="Normal"/>
              <w:jc w:val="end"/>
              <w:rPr>
                <w:rFonts w:ascii="Arial" w:hAnsi="Arial" w:eastAsia="Arial Unicode MS" w:cs="Arial"/>
                <w:b/>
                <w:bCs/>
                <w:sz w:val="20"/>
                <w:szCs w:val="20"/>
              </w:rPr>
            </w:pPr>
            <w:r>
              <w:rPr>
                <w:rFonts w:cs="Arial" w:ascii="Arial" w:hAnsi="Arial"/>
                <w:b/>
                <w:bCs/>
                <w:sz w:val="20"/>
                <w:szCs w:val="20"/>
              </w:rPr>
              <w:t>2/7/01</w:t>
            </w:r>
          </w:p>
        </w:tc>
        <w:tc>
          <w:tcPr>
            <w:tcW w:w="1376" w:type="dxa"/>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(925,251.87)</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vAlign w:val="bottom"/>
          </w:tcPr>
          <w:p>
            <w:pPr>
              <w:pStyle w:val="Normal"/>
              <w:jc w:val="end"/>
              <w:rPr>
                <w:rFonts w:ascii="Arial" w:hAnsi="Arial" w:eastAsia="Arial Unicode MS" w:cs="Arial"/>
                <w:b/>
                <w:bCs/>
                <w:sz w:val="20"/>
                <w:szCs w:val="20"/>
              </w:rPr>
            </w:pPr>
            <w:r>
              <w:rPr>
                <w:rFonts w:cs="Arial" w:ascii="Arial" w:hAnsi="Arial"/>
                <w:b/>
                <w:bCs/>
                <w:sz w:val="20"/>
                <w:szCs w:val="20"/>
              </w:rPr>
              <w:t>3/7/01</w:t>
            </w:r>
          </w:p>
        </w:tc>
        <w:tc>
          <w:tcPr>
            <w:tcW w:w="1316" w:type="dxa"/>
            <w:tcBorders/>
            <w:vAlign w:val="bottom"/>
          </w:tcPr>
          <w:p>
            <w:pPr>
              <w:pStyle w:val="Normal"/>
              <w:jc w:val="end"/>
              <w:rPr>
                <w:rFonts w:ascii="Arial" w:hAnsi="Arial" w:eastAsia="Arial Unicode MS" w:cs="Arial"/>
                <w:sz w:val="20"/>
                <w:szCs w:val="20"/>
              </w:rPr>
            </w:pPr>
            <w:r>
              <w:rPr>
                <w:rFonts w:cs="Arial" w:ascii="Arial" w:hAnsi="Arial"/>
                <w:sz w:val="20"/>
                <w:szCs w:val="20"/>
              </w:rPr>
              <w:t xml:space="preserve">134,913.41 </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vAlign w:val="bottom"/>
          </w:tcPr>
          <w:p>
            <w:pPr>
              <w:pStyle w:val="Normal"/>
              <w:jc w:val="end"/>
              <w:rPr>
                <w:rFonts w:ascii="Arial" w:hAnsi="Arial" w:eastAsia="Arial Unicode MS" w:cs="Arial"/>
                <w:b/>
                <w:bCs/>
                <w:sz w:val="20"/>
                <w:szCs w:val="20"/>
              </w:rPr>
            </w:pPr>
            <w:r>
              <w:rPr>
                <w:rFonts w:cs="Arial" w:ascii="Arial" w:hAnsi="Arial"/>
                <w:b/>
                <w:bCs/>
                <w:sz w:val="20"/>
                <w:szCs w:val="20"/>
              </w:rPr>
              <w:t>4/7/01</w:t>
            </w:r>
          </w:p>
        </w:tc>
        <w:tc>
          <w:tcPr>
            <w:tcW w:w="1136" w:type="dxa"/>
            <w:tcBorders/>
            <w:vAlign w:val="bottom"/>
          </w:tcPr>
          <w:p>
            <w:pPr>
              <w:pStyle w:val="Normal"/>
              <w:jc w:val="end"/>
              <w:rPr>
                <w:rFonts w:ascii="Arial" w:hAnsi="Arial" w:eastAsia="Arial Unicode MS" w:cs="Arial"/>
                <w:sz w:val="20"/>
                <w:szCs w:val="20"/>
              </w:rPr>
            </w:pPr>
            <w:r>
              <w:rPr>
                <w:rFonts w:cs="Arial" w:ascii="Arial" w:hAnsi="Arial"/>
                <w:sz w:val="20"/>
                <w:szCs w:val="20"/>
              </w:rPr>
              <w:t xml:space="preserve">20,144.78 </w:t>
            </w:r>
          </w:p>
        </w:tc>
      </w:tr>
      <w:tr>
        <w:trPr>
          <w:trHeight w:val="270" w:hRule="atLeast"/>
        </w:trPr>
        <w:tc>
          <w:tcPr>
            <w:tcW w:w="976" w:type="dxa"/>
            <w:tcBorders/>
            <w:vAlign w:val="bottom"/>
          </w:tcPr>
          <w:p>
            <w:pPr>
              <w:pStyle w:val="Normal"/>
              <w:jc w:val="end"/>
              <w:rPr>
                <w:rFonts w:ascii="Arial" w:hAnsi="Arial" w:eastAsia="Arial Unicode MS" w:cs="Arial"/>
                <w:b/>
                <w:bCs/>
                <w:sz w:val="20"/>
                <w:szCs w:val="20"/>
              </w:rPr>
            </w:pPr>
            <w:r>
              <w:rPr>
                <w:rFonts w:cs="Arial" w:ascii="Arial" w:hAnsi="Arial"/>
                <w:b/>
                <w:bCs/>
                <w:sz w:val="20"/>
                <w:szCs w:val="20"/>
              </w:rPr>
              <w:t>1/8/01</w:t>
            </w:r>
          </w:p>
        </w:tc>
        <w:tc>
          <w:tcPr>
            <w:tcW w:w="1496" w:type="dxa"/>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(935,288.44)</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116" w:type="dxa"/>
            <w:tcBorders/>
            <w:vAlign w:val="bottom"/>
          </w:tcPr>
          <w:p>
            <w:pPr>
              <w:pStyle w:val="Normal"/>
              <w:jc w:val="end"/>
              <w:rPr>
                <w:rFonts w:ascii="Arial" w:hAnsi="Arial" w:eastAsia="Arial Unicode MS" w:cs="Arial"/>
                <w:b/>
                <w:bCs/>
                <w:sz w:val="20"/>
                <w:szCs w:val="20"/>
              </w:rPr>
            </w:pPr>
            <w:r>
              <w:rPr>
                <w:rFonts w:cs="Arial" w:ascii="Arial" w:hAnsi="Arial"/>
                <w:b/>
                <w:bCs/>
                <w:sz w:val="20"/>
                <w:szCs w:val="20"/>
              </w:rPr>
              <w:t>2/8/01</w:t>
            </w:r>
          </w:p>
        </w:tc>
        <w:tc>
          <w:tcPr>
            <w:tcW w:w="1376" w:type="dxa"/>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(1,171,591.26)</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vAlign w:val="bottom"/>
          </w:tcPr>
          <w:p>
            <w:pPr>
              <w:pStyle w:val="Normal"/>
              <w:jc w:val="end"/>
              <w:rPr>
                <w:rFonts w:ascii="Arial" w:hAnsi="Arial" w:eastAsia="Arial Unicode MS" w:cs="Arial"/>
                <w:b/>
                <w:bCs/>
                <w:sz w:val="20"/>
                <w:szCs w:val="20"/>
              </w:rPr>
            </w:pPr>
            <w:r>
              <w:rPr>
                <w:rFonts w:cs="Arial" w:ascii="Arial" w:hAnsi="Arial"/>
                <w:b/>
                <w:bCs/>
                <w:sz w:val="20"/>
                <w:szCs w:val="20"/>
              </w:rPr>
              <w:t>3/8/01</w:t>
            </w:r>
          </w:p>
        </w:tc>
        <w:tc>
          <w:tcPr>
            <w:tcW w:w="1316" w:type="dxa"/>
            <w:tcBorders/>
            <w:vAlign w:val="bottom"/>
          </w:tcPr>
          <w:p>
            <w:pPr>
              <w:pStyle w:val="Normal"/>
              <w:jc w:val="end"/>
              <w:rPr>
                <w:rFonts w:ascii="Arial" w:hAnsi="Arial" w:eastAsia="Arial Unicode MS" w:cs="Arial"/>
                <w:sz w:val="20"/>
                <w:szCs w:val="20"/>
              </w:rPr>
            </w:pPr>
            <w:r>
              <w:rPr>
                <w:rFonts w:cs="Arial" w:ascii="Arial" w:hAnsi="Arial"/>
                <w:sz w:val="20"/>
                <w:szCs w:val="20"/>
              </w:rPr>
              <w:t xml:space="preserve">106,982.10 </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vAlign w:val="bottom"/>
          </w:tcPr>
          <w:p>
            <w:pPr>
              <w:pStyle w:val="Normal"/>
              <w:jc w:val="end"/>
              <w:rPr>
                <w:rFonts w:ascii="Arial" w:hAnsi="Arial" w:eastAsia="Arial Unicode MS" w:cs="Arial"/>
                <w:b/>
                <w:bCs/>
                <w:sz w:val="20"/>
                <w:szCs w:val="20"/>
              </w:rPr>
            </w:pPr>
            <w:r>
              <w:rPr>
                <w:rFonts w:cs="Arial" w:ascii="Arial" w:hAnsi="Arial"/>
                <w:b/>
                <w:bCs/>
                <w:sz w:val="20"/>
                <w:szCs w:val="20"/>
              </w:rPr>
              <w:t>4/8/01</w:t>
            </w:r>
          </w:p>
        </w:tc>
        <w:tc>
          <w:tcPr>
            <w:tcW w:w="1136" w:type="dxa"/>
            <w:tcBorders/>
            <w:vAlign w:val="bottom"/>
          </w:tcPr>
          <w:p>
            <w:pPr>
              <w:pStyle w:val="Normal"/>
              <w:jc w:val="end"/>
              <w:rPr>
                <w:rFonts w:ascii="Arial" w:hAnsi="Arial" w:eastAsia="Arial Unicode MS" w:cs="Arial"/>
                <w:sz w:val="20"/>
                <w:szCs w:val="20"/>
              </w:rPr>
            </w:pPr>
            <w:r>
              <w:rPr>
                <w:rFonts w:cs="Arial" w:ascii="Arial" w:hAnsi="Arial"/>
                <w:sz w:val="20"/>
                <w:szCs w:val="20"/>
              </w:rPr>
              <w:t xml:space="preserve">7,953.84 </w:t>
            </w:r>
          </w:p>
        </w:tc>
      </w:tr>
      <w:tr>
        <w:trPr>
          <w:trHeight w:val="270" w:hRule="atLeast"/>
        </w:trPr>
        <w:tc>
          <w:tcPr>
            <w:tcW w:w="2472" w:type="dxa"/>
            <w:gridSpan w:val="2"/>
            <w:tcBorders>
              <w:top w:val="single" w:sz="8" w:space="0" w:color="000000"/>
              <w:start w:val="single" w:sz="8" w:space="0" w:color="000000"/>
              <w:bottom w:val="single" w:sz="8" w:space="0" w:color="000000"/>
              <w:end w:val="single" w:sz="8" w:space="0" w:color="000000"/>
            </w:tcBorders>
            <w:shd w:fill="00FF00"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JAN</w:t>
            </w:r>
          </w:p>
        </w:tc>
        <w:tc>
          <w:tcPr>
            <w:tcW w:w="976"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4492" w:type="dxa"/>
            <w:gridSpan w:val="2"/>
            <w:tcBorders>
              <w:top w:val="single" w:sz="8" w:space="0" w:color="000000"/>
              <w:start w:val="single" w:sz="8" w:space="0" w:color="000000"/>
              <w:bottom w:val="single" w:sz="8" w:space="0" w:color="000000"/>
              <w:end w:val="single" w:sz="8" w:space="0" w:color="000000"/>
            </w:tcBorders>
            <w:shd w:fill="00FF00"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FEB</w:t>
            </w:r>
          </w:p>
        </w:tc>
        <w:tc>
          <w:tcPr>
            <w:tcW w:w="976"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2292" w:type="dxa"/>
            <w:gridSpan w:val="2"/>
            <w:tcBorders>
              <w:top w:val="single" w:sz="8" w:space="0" w:color="000000"/>
              <w:start w:val="single" w:sz="8" w:space="0" w:color="000000"/>
              <w:bottom w:val="single" w:sz="8" w:space="0" w:color="000000"/>
              <w:end w:val="single" w:sz="8" w:space="0" w:color="000000"/>
            </w:tcBorders>
            <w:shd w:fill="00FF00"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MARCH</w:t>
            </w:r>
          </w:p>
        </w:tc>
        <w:tc>
          <w:tcPr>
            <w:tcW w:w="976"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2112" w:type="dxa"/>
            <w:gridSpan w:val="2"/>
            <w:tcBorders>
              <w:top w:val="single" w:sz="8" w:space="0" w:color="000000"/>
              <w:start w:val="single" w:sz="8" w:space="0" w:color="000000"/>
              <w:bottom w:val="single" w:sz="8" w:space="0" w:color="000000"/>
              <w:end w:val="single" w:sz="8" w:space="0" w:color="000000"/>
            </w:tcBorders>
            <w:shd w:fill="00FF00"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APRIL</w:t>
            </w:r>
          </w:p>
        </w:tc>
      </w:tr>
      <w:tr>
        <w:trPr>
          <w:trHeight w:val="255" w:hRule="atLeast"/>
        </w:trPr>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1/9/01</w:t>
            </w:r>
          </w:p>
        </w:tc>
        <w:tc>
          <w:tcPr>
            <w:tcW w:w="149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(944,138.29)</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11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2/9/01</w:t>
            </w:r>
          </w:p>
        </w:tc>
        <w:tc>
          <w:tcPr>
            <w:tcW w:w="137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(885,938.82)</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3/9/01</w:t>
            </w:r>
          </w:p>
        </w:tc>
        <w:tc>
          <w:tcPr>
            <w:tcW w:w="131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104,055.69 </w:t>
            </w:r>
          </w:p>
        </w:tc>
        <w:tc>
          <w:tcPr>
            <w:tcW w:w="976"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4/9/01</w:t>
            </w:r>
          </w:p>
        </w:tc>
        <w:tc>
          <w:tcPr>
            <w:tcW w:w="113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34,543.76 </w:t>
            </w:r>
          </w:p>
        </w:tc>
      </w:tr>
      <w:tr>
        <w:trPr>
          <w:trHeight w:val="255" w:hRule="atLeast"/>
        </w:trPr>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1/10/01</w:t>
            </w:r>
          </w:p>
        </w:tc>
        <w:tc>
          <w:tcPr>
            <w:tcW w:w="149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(1,027,804.83)</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11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2/10/01</w:t>
            </w:r>
          </w:p>
        </w:tc>
        <w:tc>
          <w:tcPr>
            <w:tcW w:w="137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(667,834.30)</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3/10/01</w:t>
            </w:r>
          </w:p>
        </w:tc>
        <w:tc>
          <w:tcPr>
            <w:tcW w:w="131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63,054.41 </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4/10/01</w:t>
            </w:r>
          </w:p>
        </w:tc>
        <w:tc>
          <w:tcPr>
            <w:tcW w:w="113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24,961.83 </w:t>
            </w:r>
          </w:p>
        </w:tc>
      </w:tr>
      <w:tr>
        <w:trPr>
          <w:trHeight w:val="255" w:hRule="atLeast"/>
        </w:trPr>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1/11/01</w:t>
            </w:r>
          </w:p>
        </w:tc>
        <w:tc>
          <w:tcPr>
            <w:tcW w:w="149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(1,721,570.52)</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11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2/11/01</w:t>
            </w:r>
          </w:p>
        </w:tc>
        <w:tc>
          <w:tcPr>
            <w:tcW w:w="137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(297,238.96)</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3/11/01</w:t>
            </w:r>
          </w:p>
        </w:tc>
        <w:tc>
          <w:tcPr>
            <w:tcW w:w="131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152,334.66 </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4/11/01</w:t>
            </w:r>
          </w:p>
        </w:tc>
        <w:tc>
          <w:tcPr>
            <w:tcW w:w="113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53,511.14 </w:t>
            </w:r>
          </w:p>
        </w:tc>
      </w:tr>
      <w:tr>
        <w:trPr>
          <w:trHeight w:val="255" w:hRule="atLeast"/>
        </w:trPr>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1/12/01</w:t>
            </w:r>
          </w:p>
        </w:tc>
        <w:tc>
          <w:tcPr>
            <w:tcW w:w="149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(1,451,112.09)</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11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2/12/01</w:t>
            </w:r>
          </w:p>
        </w:tc>
        <w:tc>
          <w:tcPr>
            <w:tcW w:w="137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(883,665.52)</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3/12/01</w:t>
            </w:r>
          </w:p>
        </w:tc>
        <w:tc>
          <w:tcPr>
            <w:tcW w:w="131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197,145.96 </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4/12/01</w:t>
            </w:r>
          </w:p>
        </w:tc>
        <w:tc>
          <w:tcPr>
            <w:tcW w:w="113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20,831.23 </w:t>
            </w:r>
          </w:p>
        </w:tc>
      </w:tr>
      <w:tr>
        <w:trPr>
          <w:trHeight w:val="255" w:hRule="atLeast"/>
        </w:trPr>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1/13/01</w:t>
            </w:r>
          </w:p>
        </w:tc>
        <w:tc>
          <w:tcPr>
            <w:tcW w:w="149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(387,622.16)</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11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2/13/01</w:t>
            </w:r>
          </w:p>
        </w:tc>
        <w:tc>
          <w:tcPr>
            <w:tcW w:w="137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(541,237.03)</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3/13/01</w:t>
            </w:r>
          </w:p>
        </w:tc>
        <w:tc>
          <w:tcPr>
            <w:tcW w:w="131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180,500.10 </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4/13/01</w:t>
            </w:r>
          </w:p>
        </w:tc>
        <w:tc>
          <w:tcPr>
            <w:tcW w:w="1136" w:type="dxa"/>
            <w:tcBorders>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55" w:hRule="atLeast"/>
        </w:trPr>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1/14/01</w:t>
            </w:r>
          </w:p>
        </w:tc>
        <w:tc>
          <w:tcPr>
            <w:tcW w:w="149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(439,618.26)</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11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2/14/01</w:t>
            </w:r>
          </w:p>
        </w:tc>
        <w:tc>
          <w:tcPr>
            <w:tcW w:w="137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(984,941.58)</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3/14/01</w:t>
            </w:r>
          </w:p>
        </w:tc>
        <w:tc>
          <w:tcPr>
            <w:tcW w:w="131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81,791.79 </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4/14/01</w:t>
            </w:r>
          </w:p>
        </w:tc>
        <w:tc>
          <w:tcPr>
            <w:tcW w:w="113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32,088.04 </w:t>
            </w:r>
          </w:p>
        </w:tc>
      </w:tr>
      <w:tr>
        <w:trPr>
          <w:trHeight w:val="255" w:hRule="atLeast"/>
        </w:trPr>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1/15/01</w:t>
            </w:r>
          </w:p>
        </w:tc>
        <w:tc>
          <w:tcPr>
            <w:tcW w:w="149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(1,634,277.39)</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11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2/15/01</w:t>
            </w:r>
          </w:p>
        </w:tc>
        <w:tc>
          <w:tcPr>
            <w:tcW w:w="137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(355,210.42)</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3/15/01</w:t>
            </w:r>
          </w:p>
        </w:tc>
        <w:tc>
          <w:tcPr>
            <w:tcW w:w="131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91,354.74 </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4/15/01</w:t>
            </w:r>
          </w:p>
        </w:tc>
        <w:tc>
          <w:tcPr>
            <w:tcW w:w="113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9,438.95 </w:t>
            </w:r>
          </w:p>
        </w:tc>
      </w:tr>
      <w:tr>
        <w:trPr>
          <w:trHeight w:val="255" w:hRule="atLeast"/>
        </w:trPr>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1/16/01</w:t>
            </w:r>
          </w:p>
        </w:tc>
        <w:tc>
          <w:tcPr>
            <w:tcW w:w="149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(1,659,696.13)</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11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2/16/01</w:t>
            </w:r>
          </w:p>
        </w:tc>
        <w:tc>
          <w:tcPr>
            <w:tcW w:w="137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(349,049.85)</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3/16/01</w:t>
            </w:r>
          </w:p>
        </w:tc>
        <w:tc>
          <w:tcPr>
            <w:tcW w:w="131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27,599.77 </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4/16/01</w:t>
            </w:r>
          </w:p>
        </w:tc>
        <w:tc>
          <w:tcPr>
            <w:tcW w:w="113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67,961.58 </w:t>
            </w:r>
          </w:p>
        </w:tc>
      </w:tr>
      <w:tr>
        <w:trPr>
          <w:trHeight w:val="255" w:hRule="atLeast"/>
        </w:trPr>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1/17/01</w:t>
            </w:r>
          </w:p>
        </w:tc>
        <w:tc>
          <w:tcPr>
            <w:tcW w:w="149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(1,383,135.79)</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11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2/17/01</w:t>
            </w:r>
          </w:p>
        </w:tc>
        <w:tc>
          <w:tcPr>
            <w:tcW w:w="137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(44,798.30)</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3/17/01</w:t>
            </w:r>
          </w:p>
        </w:tc>
        <w:tc>
          <w:tcPr>
            <w:tcW w:w="131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30,419.58 </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4/17/01</w:t>
            </w:r>
          </w:p>
        </w:tc>
        <w:tc>
          <w:tcPr>
            <w:tcW w:w="113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62,209.05 </w:t>
            </w:r>
          </w:p>
        </w:tc>
      </w:tr>
      <w:tr>
        <w:trPr>
          <w:trHeight w:val="255" w:hRule="atLeast"/>
        </w:trPr>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1/18/01</w:t>
            </w:r>
          </w:p>
        </w:tc>
        <w:tc>
          <w:tcPr>
            <w:tcW w:w="149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(1,176,412.62)</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11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2/18/01</w:t>
            </w:r>
          </w:p>
        </w:tc>
        <w:tc>
          <w:tcPr>
            <w:tcW w:w="137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78,528.98 </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3/18/01</w:t>
            </w:r>
          </w:p>
        </w:tc>
        <w:tc>
          <w:tcPr>
            <w:tcW w:w="131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33,107.59 </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4/18/01</w:t>
            </w:r>
          </w:p>
        </w:tc>
        <w:tc>
          <w:tcPr>
            <w:tcW w:w="113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60,666.26 </w:t>
            </w:r>
          </w:p>
        </w:tc>
      </w:tr>
      <w:tr>
        <w:trPr>
          <w:trHeight w:val="255" w:hRule="atLeast"/>
        </w:trPr>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1/19/01</w:t>
            </w:r>
          </w:p>
        </w:tc>
        <w:tc>
          <w:tcPr>
            <w:tcW w:w="149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(1,607,190.10)</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11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2/19/01</w:t>
            </w:r>
          </w:p>
        </w:tc>
        <w:tc>
          <w:tcPr>
            <w:tcW w:w="137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(179,754.85)</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3/19/01</w:t>
            </w:r>
          </w:p>
        </w:tc>
        <w:tc>
          <w:tcPr>
            <w:tcW w:w="131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67,578.48 </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4/19/01</w:t>
            </w:r>
          </w:p>
        </w:tc>
        <w:tc>
          <w:tcPr>
            <w:tcW w:w="1136" w:type="dxa"/>
            <w:tcBorders>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55" w:hRule="atLeast"/>
        </w:trPr>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1/20/01</w:t>
            </w:r>
          </w:p>
        </w:tc>
        <w:tc>
          <w:tcPr>
            <w:tcW w:w="149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(913,740.64)</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11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2/20/01</w:t>
            </w:r>
          </w:p>
        </w:tc>
        <w:tc>
          <w:tcPr>
            <w:tcW w:w="137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(365,038.93)</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3/20/01</w:t>
            </w:r>
          </w:p>
        </w:tc>
        <w:tc>
          <w:tcPr>
            <w:tcW w:w="131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53,842.94 </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4/20/01</w:t>
            </w:r>
          </w:p>
        </w:tc>
        <w:tc>
          <w:tcPr>
            <w:tcW w:w="1136" w:type="dxa"/>
            <w:tcBorders>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55" w:hRule="atLeast"/>
        </w:trPr>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1/21/01</w:t>
            </w:r>
          </w:p>
        </w:tc>
        <w:tc>
          <w:tcPr>
            <w:tcW w:w="149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(482,072.13)</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11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2/21/01</w:t>
            </w:r>
          </w:p>
        </w:tc>
        <w:tc>
          <w:tcPr>
            <w:tcW w:w="137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153,476.02 </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3/21/01</w:t>
            </w:r>
          </w:p>
        </w:tc>
        <w:tc>
          <w:tcPr>
            <w:tcW w:w="131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42,355.25 </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4/21/01</w:t>
            </w:r>
          </w:p>
        </w:tc>
        <w:tc>
          <w:tcPr>
            <w:tcW w:w="1136" w:type="dxa"/>
            <w:tcBorders>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55" w:hRule="atLeast"/>
        </w:trPr>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1/22/01</w:t>
            </w:r>
          </w:p>
        </w:tc>
        <w:tc>
          <w:tcPr>
            <w:tcW w:w="149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(595,998.41)</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11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2/22/01</w:t>
            </w:r>
          </w:p>
        </w:tc>
        <w:tc>
          <w:tcPr>
            <w:tcW w:w="137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158,491.96 </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3/22/01</w:t>
            </w:r>
          </w:p>
        </w:tc>
        <w:tc>
          <w:tcPr>
            <w:tcW w:w="131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(14,330.02)</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4/22/01</w:t>
            </w:r>
          </w:p>
        </w:tc>
        <w:tc>
          <w:tcPr>
            <w:tcW w:w="1136" w:type="dxa"/>
            <w:tcBorders>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55" w:hRule="atLeast"/>
        </w:trPr>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1/23/01</w:t>
            </w:r>
          </w:p>
        </w:tc>
        <w:tc>
          <w:tcPr>
            <w:tcW w:w="149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(1,057,009.32)</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11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2/23/01</w:t>
            </w:r>
          </w:p>
        </w:tc>
        <w:tc>
          <w:tcPr>
            <w:tcW w:w="137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233,502.78 </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3/23/01</w:t>
            </w:r>
          </w:p>
        </w:tc>
        <w:tc>
          <w:tcPr>
            <w:tcW w:w="131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66,880.68 </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4/23/01</w:t>
            </w:r>
          </w:p>
        </w:tc>
        <w:tc>
          <w:tcPr>
            <w:tcW w:w="1136" w:type="dxa"/>
            <w:tcBorders>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55" w:hRule="atLeast"/>
        </w:trPr>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1/24/01</w:t>
            </w:r>
          </w:p>
        </w:tc>
        <w:tc>
          <w:tcPr>
            <w:tcW w:w="149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(1,069,176.02)</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11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2/24/01</w:t>
            </w:r>
          </w:p>
        </w:tc>
        <w:tc>
          <w:tcPr>
            <w:tcW w:w="137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84,010.38 </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3/24/01</w:t>
            </w:r>
          </w:p>
        </w:tc>
        <w:tc>
          <w:tcPr>
            <w:tcW w:w="131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43,119.43 </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4/24/01</w:t>
            </w:r>
          </w:p>
        </w:tc>
        <w:tc>
          <w:tcPr>
            <w:tcW w:w="1136" w:type="dxa"/>
            <w:tcBorders>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55" w:hRule="atLeast"/>
        </w:trPr>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1/25/01</w:t>
            </w:r>
          </w:p>
        </w:tc>
        <w:tc>
          <w:tcPr>
            <w:tcW w:w="149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(1,329,112.92)</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11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2/25/01</w:t>
            </w:r>
          </w:p>
        </w:tc>
        <w:tc>
          <w:tcPr>
            <w:tcW w:w="137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228,414.78 </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3/25/01</w:t>
            </w:r>
          </w:p>
        </w:tc>
        <w:tc>
          <w:tcPr>
            <w:tcW w:w="131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47,577.06 </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4/25/01</w:t>
            </w:r>
          </w:p>
        </w:tc>
        <w:tc>
          <w:tcPr>
            <w:tcW w:w="1136" w:type="dxa"/>
            <w:tcBorders>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55" w:hRule="atLeast"/>
        </w:trPr>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1/26/01</w:t>
            </w:r>
          </w:p>
        </w:tc>
        <w:tc>
          <w:tcPr>
            <w:tcW w:w="149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(1,531,110.61)</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11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2/26/01</w:t>
            </w:r>
          </w:p>
        </w:tc>
        <w:tc>
          <w:tcPr>
            <w:tcW w:w="137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223,852.75 </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3/26/01</w:t>
            </w:r>
          </w:p>
        </w:tc>
        <w:tc>
          <w:tcPr>
            <w:tcW w:w="131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115,779.62 </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4/26/01</w:t>
            </w:r>
          </w:p>
        </w:tc>
        <w:tc>
          <w:tcPr>
            <w:tcW w:w="1136" w:type="dxa"/>
            <w:tcBorders>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55" w:hRule="atLeast"/>
        </w:trPr>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1/27/01</w:t>
            </w:r>
          </w:p>
        </w:tc>
        <w:tc>
          <w:tcPr>
            <w:tcW w:w="149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(162,730.04)</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11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2/27/01</w:t>
            </w:r>
          </w:p>
        </w:tc>
        <w:tc>
          <w:tcPr>
            <w:tcW w:w="137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278,611.68 </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3/27/01</w:t>
            </w:r>
          </w:p>
        </w:tc>
        <w:tc>
          <w:tcPr>
            <w:tcW w:w="131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75,195.00 </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4/27/01</w:t>
            </w:r>
          </w:p>
        </w:tc>
        <w:tc>
          <w:tcPr>
            <w:tcW w:w="1136" w:type="dxa"/>
            <w:tcBorders>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55" w:hRule="atLeast"/>
        </w:trPr>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1/28/01</w:t>
            </w:r>
          </w:p>
        </w:tc>
        <w:tc>
          <w:tcPr>
            <w:tcW w:w="149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(370,144.63)</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11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2/28/01</w:t>
            </w:r>
          </w:p>
        </w:tc>
        <w:tc>
          <w:tcPr>
            <w:tcW w:w="137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291,588.12 </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3/28/01</w:t>
            </w:r>
          </w:p>
        </w:tc>
        <w:tc>
          <w:tcPr>
            <w:tcW w:w="131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47,870.75 </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4/28/01</w:t>
            </w:r>
          </w:p>
        </w:tc>
        <w:tc>
          <w:tcPr>
            <w:tcW w:w="1136" w:type="dxa"/>
            <w:tcBorders>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55" w:hRule="atLeast"/>
        </w:trPr>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1/29/01</w:t>
            </w:r>
          </w:p>
        </w:tc>
        <w:tc>
          <w:tcPr>
            <w:tcW w:w="149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(1,040,658.14)</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116" w:type="dxa"/>
            <w:tcBorders>
              <w:start w:val="single" w:sz="8"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 </w:t>
            </w:r>
          </w:p>
        </w:tc>
        <w:tc>
          <w:tcPr>
            <w:tcW w:w="1376" w:type="dxa"/>
            <w:tcBorders>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3/29/01</w:t>
            </w:r>
          </w:p>
        </w:tc>
        <w:tc>
          <w:tcPr>
            <w:tcW w:w="131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41,984.05 </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4/29/01</w:t>
            </w:r>
          </w:p>
        </w:tc>
        <w:tc>
          <w:tcPr>
            <w:tcW w:w="1136" w:type="dxa"/>
            <w:tcBorders>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55" w:hRule="atLeast"/>
        </w:trPr>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1/30/01</w:t>
            </w:r>
          </w:p>
        </w:tc>
        <w:tc>
          <w:tcPr>
            <w:tcW w:w="149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(943,193.55)</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116" w:type="dxa"/>
            <w:tcBorders>
              <w:start w:val="single" w:sz="8"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 </w:t>
            </w:r>
          </w:p>
        </w:tc>
        <w:tc>
          <w:tcPr>
            <w:tcW w:w="1376" w:type="dxa"/>
            <w:tcBorders>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3/30/01</w:t>
            </w:r>
          </w:p>
        </w:tc>
        <w:tc>
          <w:tcPr>
            <w:tcW w:w="1316"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92,550.53 </w:t>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start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4/30/01</w:t>
            </w:r>
          </w:p>
        </w:tc>
        <w:tc>
          <w:tcPr>
            <w:tcW w:w="1136" w:type="dxa"/>
            <w:tcBorders>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70" w:hRule="atLeast"/>
        </w:trPr>
        <w:tc>
          <w:tcPr>
            <w:tcW w:w="976" w:type="dxa"/>
            <w:tcBorders>
              <w:start w:val="single" w:sz="8" w:space="0" w:color="000000"/>
              <w:bottom w:val="single" w:sz="12"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1/31/01</w:t>
            </w:r>
          </w:p>
        </w:tc>
        <w:tc>
          <w:tcPr>
            <w:tcW w:w="1496" w:type="dxa"/>
            <w:tcBorders>
              <w:bottom w:val="single" w:sz="12" w:space="0" w:color="000000"/>
              <w:end w:val="single" w:sz="8" w:space="0" w:color="000000"/>
            </w:tcBorders>
            <w:vAlign w:val="bottom"/>
          </w:tcPr>
          <w:p>
            <w:pPr>
              <w:pStyle w:val="Normal"/>
              <w:jc w:val="end"/>
              <w:rPr>
                <w:rFonts w:ascii="Arial" w:hAnsi="Arial" w:eastAsia="Arial Unicode MS" w:cs="Arial"/>
                <w:sz w:val="20"/>
                <w:szCs w:val="20"/>
              </w:rPr>
            </w:pPr>
            <w:r>
              <w:rPr>
                <w:rFonts w:cs="Arial" w:ascii="Arial" w:hAnsi="Arial"/>
                <w:color w:val="FF0000"/>
                <w:sz w:val="20"/>
                <w:szCs w:val="20"/>
              </w:rPr>
              <w:t>(884,202.60)</w:t>
            </w:r>
          </w:p>
        </w:tc>
        <w:tc>
          <w:tcPr>
            <w:tcW w:w="976" w:type="dxa"/>
            <w:tcBorders>
              <w:bottom w:val="single" w:sz="12"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116" w:type="dxa"/>
            <w:tcBorders>
              <w:start w:val="single" w:sz="8" w:space="0" w:color="000000"/>
              <w:bottom w:val="single" w:sz="12"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 </w:t>
            </w:r>
          </w:p>
        </w:tc>
        <w:tc>
          <w:tcPr>
            <w:tcW w:w="1376" w:type="dxa"/>
            <w:tcBorders>
              <w:bottom w:val="single" w:sz="12" w:space="0" w:color="000000"/>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976" w:type="dxa"/>
            <w:tcBorders>
              <w:bottom w:val="single" w:sz="12"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976" w:type="dxa"/>
            <w:tcBorders>
              <w:start w:val="single" w:sz="8" w:space="0" w:color="000000"/>
              <w:bottom w:val="single" w:sz="12"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3/31/01</w:t>
            </w:r>
          </w:p>
        </w:tc>
        <w:tc>
          <w:tcPr>
            <w:tcW w:w="1316" w:type="dxa"/>
            <w:tcBorders>
              <w:bottom w:val="single" w:sz="12" w:space="0" w:color="000000"/>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86,684.31 </w:t>
            </w:r>
          </w:p>
        </w:tc>
        <w:tc>
          <w:tcPr>
            <w:tcW w:w="976" w:type="dxa"/>
            <w:tcBorders>
              <w:bottom w:val="single" w:sz="12"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976" w:type="dxa"/>
            <w:tcBorders>
              <w:start w:val="single" w:sz="8" w:space="0" w:color="000000"/>
              <w:bottom w:val="single" w:sz="12"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 </w:t>
            </w:r>
          </w:p>
        </w:tc>
        <w:tc>
          <w:tcPr>
            <w:tcW w:w="1136" w:type="dxa"/>
            <w:tcBorders>
              <w:bottom w:val="single" w:sz="12" w:space="0" w:color="000000"/>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85" w:hRule="atLeast"/>
        </w:trPr>
        <w:tc>
          <w:tcPr>
            <w:tcW w:w="976" w:type="dxa"/>
            <w:tcBorders>
              <w:start w:val="single" w:sz="8" w:space="0" w:color="000000"/>
              <w:bottom w:val="single" w:sz="8"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 </w:t>
            </w:r>
          </w:p>
        </w:tc>
        <w:tc>
          <w:tcPr>
            <w:tcW w:w="1496" w:type="dxa"/>
            <w:tcBorders>
              <w:bottom w:val="single" w:sz="8" w:space="0" w:color="000000"/>
              <w:end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color w:val="FF0000"/>
                <w:sz w:val="20"/>
                <w:szCs w:val="20"/>
              </w:rPr>
              <w:t>(28,186,480.34)</w:t>
            </w:r>
          </w:p>
        </w:tc>
        <w:tc>
          <w:tcPr>
            <w:tcW w:w="976"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3116" w:type="dxa"/>
            <w:tcBorders>
              <w:start w:val="single" w:sz="8" w:space="0" w:color="000000"/>
              <w:bottom w:val="single" w:sz="8"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 </w:t>
            </w:r>
          </w:p>
        </w:tc>
        <w:tc>
          <w:tcPr>
            <w:tcW w:w="1376" w:type="dxa"/>
            <w:tcBorders>
              <w:bottom w:val="single" w:sz="8" w:space="0" w:color="000000"/>
              <w:end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color w:val="FF0000"/>
                <w:sz w:val="20"/>
                <w:szCs w:val="20"/>
              </w:rPr>
              <w:t>(5,563,438.49)</w:t>
            </w:r>
          </w:p>
        </w:tc>
        <w:tc>
          <w:tcPr>
            <w:tcW w:w="976"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976" w:type="dxa"/>
            <w:tcBorders>
              <w:start w:val="single" w:sz="8" w:space="0" w:color="000000"/>
              <w:bottom w:val="single" w:sz="8"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 </w:t>
            </w:r>
          </w:p>
        </w:tc>
        <w:tc>
          <w:tcPr>
            <w:tcW w:w="1316" w:type="dxa"/>
            <w:tcBorders>
              <w:bottom w:val="single" w:sz="8" w:space="0" w:color="000000"/>
              <w:end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 xml:space="preserve">2,641,132.40 </w:t>
            </w:r>
          </w:p>
        </w:tc>
        <w:tc>
          <w:tcPr>
            <w:tcW w:w="976"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976" w:type="dxa"/>
            <w:tcBorders>
              <w:start w:val="single" w:sz="8" w:space="0" w:color="000000"/>
              <w:bottom w:val="single" w:sz="8"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 </w:t>
            </w:r>
          </w:p>
        </w:tc>
        <w:tc>
          <w:tcPr>
            <w:tcW w:w="1136" w:type="dxa"/>
            <w:tcBorders>
              <w:bottom w:val="single" w:sz="8" w:space="0" w:color="000000"/>
              <w:end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 xml:space="preserve">693,367.36 </w:t>
            </w:r>
          </w:p>
        </w:tc>
      </w:tr>
      <w:tr>
        <w:trPr>
          <w:trHeight w:val="255" w:hRule="atLeast"/>
        </w:trPr>
        <w:tc>
          <w:tcPr>
            <w:tcW w:w="976"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1496"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116"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1376"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1316"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1136"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r>
      <w:tr>
        <w:trPr>
          <w:trHeight w:val="255" w:hRule="atLeast"/>
        </w:trPr>
        <w:tc>
          <w:tcPr>
            <w:tcW w:w="976"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1496"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116"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1376"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1316"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1136"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r>
      <w:tr>
        <w:trPr>
          <w:trHeight w:val="255" w:hRule="atLeast"/>
        </w:trPr>
        <w:tc>
          <w:tcPr>
            <w:tcW w:w="976" w:type="dxa"/>
            <w:tcBorders/>
            <w:vAlign w:val="bottom"/>
          </w:tcPr>
          <w:p>
            <w:pPr>
              <w:pStyle w:val="Normal"/>
              <w:rPr>
                <w:rFonts w:ascii="Arial" w:hAnsi="Arial" w:eastAsia="Arial Unicode MS" w:cs="Arial"/>
                <w:b/>
                <w:bCs/>
                <w:color w:val="0000FF"/>
                <w:sz w:val="20"/>
                <w:szCs w:val="20"/>
              </w:rPr>
            </w:pPr>
            <w:r>
              <w:rPr>
                <w:rFonts w:cs="Arial" w:ascii="Arial" w:hAnsi="Arial"/>
                <w:b/>
                <w:bCs/>
                <w:color w:val="0000FF"/>
                <w:sz w:val="20"/>
                <w:szCs w:val="20"/>
              </w:rPr>
              <w:t>TOTAL</w:t>
            </w:r>
          </w:p>
        </w:tc>
        <w:tc>
          <w:tcPr>
            <w:tcW w:w="1496" w:type="dxa"/>
            <w:tcBorders/>
            <w:shd w:fill="FFFF00" w:val="clear"/>
            <w:vAlign w:val="bottom"/>
          </w:tcPr>
          <w:p>
            <w:pPr>
              <w:pStyle w:val="Normal"/>
              <w:jc w:val="end"/>
              <w:rPr>
                <w:rFonts w:ascii="Arial" w:hAnsi="Arial" w:eastAsia="Arial Unicode MS" w:cs="Arial"/>
                <w:b/>
                <w:bCs/>
                <w:sz w:val="20"/>
                <w:szCs w:val="20"/>
              </w:rPr>
            </w:pPr>
            <w:r>
              <w:rPr>
                <w:rFonts w:cs="Arial" w:ascii="Arial" w:hAnsi="Arial"/>
                <w:b/>
                <w:bCs/>
                <w:color w:val="FF0000"/>
                <w:sz w:val="20"/>
                <w:szCs w:val="20"/>
              </w:rPr>
              <w:t>(30,415,419.07)</w:t>
            </w:r>
          </w:p>
        </w:tc>
        <w:tc>
          <w:tcPr>
            <w:tcW w:w="976"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3116" w:type="dxa"/>
            <w:tcBorders/>
            <w:vAlign w:val="bottom"/>
          </w:tcPr>
          <w:p>
            <w:pPr>
              <w:pStyle w:val="Normal"/>
              <w:rPr>
                <w:rFonts w:ascii="Arial" w:hAnsi="Arial" w:eastAsia="Arial Unicode MS" w:cs="Arial"/>
                <w:b/>
                <w:bCs/>
                <w:sz w:val="20"/>
                <w:szCs w:val="20"/>
              </w:rPr>
            </w:pPr>
            <w:r>
              <w:rPr>
                <w:rFonts w:cs="Arial" w:ascii="Arial" w:hAnsi="Arial"/>
                <w:b/>
                <w:bCs/>
                <w:sz w:val="20"/>
                <w:szCs w:val="20"/>
              </w:rPr>
              <w:t>NEG =REVENUE TO EPMI</w:t>
            </w:r>
          </w:p>
        </w:tc>
        <w:tc>
          <w:tcPr>
            <w:tcW w:w="1376"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1316"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1136"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r>
      <w:tr>
        <w:trPr>
          <w:trHeight w:val="255" w:hRule="atLeast"/>
        </w:trPr>
        <w:tc>
          <w:tcPr>
            <w:tcW w:w="976"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1496"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116" w:type="dxa"/>
            <w:tcBorders/>
            <w:vAlign w:val="bottom"/>
          </w:tcPr>
          <w:p>
            <w:pPr>
              <w:pStyle w:val="Normal"/>
              <w:rPr>
                <w:rFonts w:ascii="Arial" w:hAnsi="Arial" w:eastAsia="Arial Unicode MS" w:cs="Arial"/>
                <w:b/>
                <w:bCs/>
                <w:sz w:val="20"/>
                <w:szCs w:val="20"/>
              </w:rPr>
            </w:pPr>
            <w:r>
              <w:rPr>
                <w:rFonts w:cs="Arial" w:ascii="Arial" w:hAnsi="Arial"/>
                <w:b/>
                <w:bCs/>
                <w:sz w:val="20"/>
                <w:szCs w:val="20"/>
              </w:rPr>
              <w:t>POSITIVE = EXPENSE TO EPMI</w:t>
            </w:r>
          </w:p>
        </w:tc>
        <w:tc>
          <w:tcPr>
            <w:tcW w:w="1376"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1316"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1136"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r>
    </w:tbl>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sectPr>
      <w:headerReference w:type="default" r:id="rId4"/>
      <w:headerReference w:type="first" r:id="rId5"/>
      <w:type w:val="nextPage"/>
      <w:pgSz w:orient="landscape" w:w="15840" w:h="12240"/>
      <w:pgMar w:left="360" w:right="360" w:gutter="0" w:header="720" w:top="776" w:footer="0" w:bottom="3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Helv">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rPr>
      <w:t>CONFIDENTIAL ATTY-CLIENT WORK PRODUCT</w:t>
      <w:tab/>
      <w:t xml:space="preserve">Page </w:t>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8</w:t>
    </w:r>
    <w:r>
      <w:rPr>
        <w:rStyle w:val="PageNumber"/>
        <w:b/>
        <w:bCs/>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rPr>
      <w:t>CONFIDENTIAL ATTY-CLIENT WORK PRODUCT</w:t>
      <w:tab/>
      <w:t xml:space="preserve">Page </w:t>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9</w:t>
    </w:r>
    <w:r>
      <w:rPr>
        <w:rStyle w:val="PageNumber"/>
        <w:b/>
        <w:bCs/>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1440" w:end="1440"/>
    </w:pPr>
    <w:rPr/>
  </w:style>
  <w:style w:type="paragraph" w:styleId="BodyText2">
    <w:name w:val="Body Text 2"/>
    <w:basedOn w:val="Normal"/>
    <w:qFormat/>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ferc.gov/"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2001-08-08T16:30:00Z</dcterms:created>
  <dc:creator>acomnes</dc:creator>
  <dc:description/>
  <dc:language>en-CA</dc:language>
  <cp:lastModifiedBy>acomnes</cp:lastModifiedBy>
  <dcterms:modified xsi:type="dcterms:W3CDTF">2001-08-09T17:24:00Z</dcterms:modified>
  <cp:revision>13</cp:revision>
  <dc:subject/>
  <dc:title>Underscheduling Penalty Fact Sheet</dc:title>
</cp:coreProperties>
</file>