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lang w:val="en-CA"/>
        </w:rPr>
      </w:pPr>
      <w:r>
        <w:rPr>
          <w:sz w:val="22"/>
          <w:lang w:val="en-CA"/>
        </w:rPr>
        <w:drawing>
          <wp:anchor behindDoc="0" distT="0" distB="0" distL="114935" distR="114935" simplePos="0" locked="0" layoutInCell="1" allowOverlap="1" relativeHeight="14">
            <wp:simplePos x="0" y="0"/>
            <wp:positionH relativeFrom="column">
              <wp:posOffset>2533650</wp:posOffset>
            </wp:positionH>
            <wp:positionV relativeFrom="paragraph">
              <wp:posOffset>-190500</wp:posOffset>
            </wp:positionV>
            <wp:extent cx="914400" cy="47625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54" t="-46" r="-654" b="-46"/>
                    <a:stretch>
                      <a:fillRect/>
                    </a:stretch>
                  </pic:blipFill>
                  <pic:spPr bwMode="auto">
                    <a:xfrm>
                      <a:off x="0" y="0"/>
                      <a:ext cx="914400" cy="476250"/>
                    </a:xfrm>
                    <a:prstGeom prst="rect">
                      <a:avLst/>
                    </a:prstGeom>
                    <a:noFill/>
                  </pic:spPr>
                </pic:pic>
              </a:graphicData>
            </a:graphic>
          </wp:anchor>
        </w:drawing>
      </w:r>
      <w:bookmarkStart w:id="0" w:name="QuickMark"/>
      <w:bookmarkStart w:id="1" w:name="QuickMark"/>
      <w:bookmarkEnd w:id="1"/>
    </w:p>
    <w:p>
      <w:pPr>
        <w:pStyle w:val="Normal"/>
        <w:rPr>
          <w:sz w:val="22"/>
        </w:rPr>
      </w:pPr>
      <w:r>
        <w:rPr>
          <w:sz w:val="22"/>
        </w:rPr>
      </w:r>
    </w:p>
    <w:p>
      <w:pPr>
        <w:pStyle w:val="Normal"/>
        <w:rPr>
          <w:sz w:val="22"/>
        </w:rPr>
      </w:pPr>
      <w:r>
        <w:rPr>
          <w:sz w:val="22"/>
        </w:rPr>
      </w:r>
    </w:p>
    <w:p>
      <w:pPr>
        <w:pStyle w:val="Normal"/>
        <w:spacing w:lineRule="exact" w:line="19"/>
        <w:ind w:firstLine="2160" w:end="0"/>
        <w:rPr>
          <w:sz w:val="22"/>
          <w:lang w:val="en-CA" w:eastAsia="en-CA"/>
        </w:rPr>
      </w:pPr>
      <w:r>
        <w:rPr>
          <w:sz w:val="22"/>
          <w:lang w:val="en-CA" w:eastAsia="en-CA"/>
        </w:rPr>
        <mc:AlternateContent>
          <mc:Choice Requires="wps">
            <w:drawing>
              <wp:anchor behindDoc="1" distT="0" distB="0" distL="114935" distR="114935" simplePos="0" locked="0" layoutInCell="0" allowOverlap="1" relativeHeight="13">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rPr/>
      </w:pPr>
      <w:r>
        <w:rPr/>
      </w:r>
    </w:p>
    <w:p>
      <w:pPr>
        <w:pStyle w:val="Normal"/>
        <w:ind w:firstLine="2880" w:end="0"/>
        <w:rPr/>
      </w:pPr>
      <w:r>
        <w:rPr/>
      </w:r>
    </w:p>
    <w:p>
      <w:pPr>
        <w:pStyle w:val="Heading1"/>
        <w:ind w:hanging="0" w:start="0"/>
        <w:rPr/>
      </w:pPr>
      <w:r>
        <w:rPr/>
        <w:t>CONFIDENTIAL MEMORANDUM</w:t>
      </w:r>
    </w:p>
    <w:p>
      <w:pPr>
        <w:pStyle w:val="Normal"/>
        <w:rPr>
          <w:b/>
        </w:rPr>
      </w:pPr>
      <w:r>
        <w:rPr>
          <w:b/>
        </w:rPr>
      </w:r>
    </w:p>
    <w:p>
      <w:pPr>
        <w:pStyle w:val="Normal"/>
        <w:rPr>
          <w:b/>
        </w:rPr>
      </w:pPr>
      <w:r>
        <w:rPr>
          <w:b/>
        </w:rPr>
      </w:r>
    </w:p>
    <w:p>
      <w:pPr>
        <w:pStyle w:val="Normal"/>
        <w:tabs>
          <w:tab w:val="clear" w:pos="720"/>
          <w:tab w:val="left" w:pos="-1440" w:leader="none"/>
        </w:tabs>
        <w:ind w:hanging="1440" w:start="1440" w:end="0"/>
        <w:rPr>
          <w:b/>
        </w:rPr>
      </w:pPr>
      <w:r>
        <w:rPr>
          <w:b/>
        </w:rPr>
        <w:t>To:</w:t>
        <w:tab/>
        <w:tab/>
        <w:t>Jeff Dasovich</w:t>
      </w:r>
    </w:p>
    <w:p>
      <w:pPr>
        <w:pStyle w:val="Normal"/>
        <w:tabs>
          <w:tab w:val="clear" w:pos="720"/>
          <w:tab w:val="left" w:pos="-1440" w:leader="none"/>
        </w:tabs>
        <w:ind w:hanging="1440" w:start="1440" w:end="0"/>
        <w:rPr>
          <w:b/>
        </w:rPr>
      </w:pPr>
      <w:r>
        <w:rPr>
          <w:b/>
        </w:rPr>
        <w:tab/>
        <w:tab/>
        <w:t>Enron Corporation</w:t>
      </w:r>
    </w:p>
    <w:p>
      <w:pPr>
        <w:pStyle w:val="Normal"/>
        <w:tabs>
          <w:tab w:val="clear" w:pos="720"/>
          <w:tab w:val="left" w:pos="-1440" w:leader="none"/>
        </w:tabs>
        <w:ind w:hanging="1440" w:start="1440" w:end="0"/>
        <w:rPr>
          <w:b/>
        </w:rPr>
      </w:pPr>
      <w:r>
        <w:rPr>
          <w:b/>
        </w:rPr>
      </w:r>
    </w:p>
    <w:p>
      <w:pPr>
        <w:pStyle w:val="Normal"/>
        <w:rPr>
          <w:b/>
        </w:rPr>
      </w:pPr>
      <w:r>
        <w:rPr>
          <w:b/>
        </w:rPr>
        <w:t>From:</w:t>
        <w:tab/>
        <w:tab/>
        <w:t>Bill Monsen and Bob Weisenmiller</w:t>
      </w:r>
    </w:p>
    <w:p>
      <w:pPr>
        <w:pStyle w:val="Normal"/>
        <w:ind w:firstLine="720" w:start="720" w:end="0"/>
        <w:rPr>
          <w:b/>
        </w:rPr>
      </w:pPr>
      <w:r>
        <w:rPr>
          <w:b/>
        </w:rPr>
        <w:t>MRW &amp; Associates, Inc.</w:t>
      </w:r>
    </w:p>
    <w:p>
      <w:pPr>
        <w:pStyle w:val="Normal"/>
        <w:rPr>
          <w:b/>
        </w:rPr>
      </w:pPr>
      <w:r>
        <w:rPr>
          <w:b/>
        </w:rPr>
      </w:r>
    </w:p>
    <w:p>
      <w:pPr>
        <w:pStyle w:val="Normal"/>
        <w:tabs>
          <w:tab w:val="clear" w:pos="720"/>
          <w:tab w:val="left" w:pos="-1440" w:leader="none"/>
        </w:tabs>
        <w:ind w:hanging="1440" w:start="1440" w:end="0"/>
        <w:rPr>
          <w:b/>
        </w:rPr>
      </w:pPr>
      <w:r>
        <w:rPr>
          <w:b/>
        </w:rPr>
        <w:t>Subject:</w:t>
        <w:tab/>
      </w:r>
      <w:bookmarkStart w:id="2" w:name="a4"/>
      <w:bookmarkEnd w:id="2"/>
      <w:r>
        <w:rPr>
          <w:b/>
        </w:rPr>
        <w:t>Repayment of Undercollection by PG&amp;E and SCE</w:t>
      </w:r>
    </w:p>
    <w:p>
      <w:pPr>
        <w:pStyle w:val="Normal"/>
        <w:rPr>
          <w:b/>
        </w:rPr>
      </w:pPr>
      <w:r>
        <w:rPr>
          <w:b/>
        </w:rPr>
      </w:r>
    </w:p>
    <w:p>
      <w:pPr>
        <w:pStyle w:val="Normal"/>
        <w:rPr>
          <w:b/>
        </w:rPr>
      </w:pPr>
      <w:r>
        <w:rPr>
          <w:b/>
        </w:rPr>
        <w:t>Cc:                   G. Alan Comnes</w:t>
      </w:r>
    </w:p>
    <w:p>
      <w:pPr>
        <w:pStyle w:val="Normal"/>
        <w:rPr>
          <w:b/>
        </w:rPr>
      </w:pPr>
      <w:r>
        <w:rPr>
          <w:b/>
        </w:rPr>
        <w:t xml:space="preserve">                        </w:t>
      </w:r>
      <w:r>
        <w:rPr>
          <w:b/>
        </w:rPr>
        <w:t>Enron Corporation</w:t>
      </w:r>
    </w:p>
    <w:p>
      <w:pPr>
        <w:pStyle w:val="Normal"/>
        <w:rPr>
          <w:b/>
        </w:rPr>
      </w:pPr>
      <w:r>
        <w:rPr>
          <w:b/>
        </w:rPr>
      </w:r>
    </w:p>
    <w:p>
      <w:pPr>
        <w:pStyle w:val="Normal"/>
        <w:pBdr>
          <w:bottom w:val="double" w:sz="6" w:space="1" w:color="000000"/>
        </w:pBdr>
        <w:tabs>
          <w:tab w:val="clear" w:pos="720"/>
          <w:tab w:val="left" w:pos="-1440" w:leader="none"/>
        </w:tabs>
        <w:ind w:hanging="1440" w:start="1440" w:end="0"/>
        <w:rPr>
          <w:b/>
        </w:rPr>
      </w:pPr>
      <w:r>
        <w:rPr>
          <w:b/>
        </w:rPr>
        <w:t>Date:</w:t>
        <w:tab/>
        <w:tab/>
      </w:r>
      <w:r>
        <w:rPr>
          <w:b/>
        </w:rPr>
        <w:fldChar w:fldCharType="begin"/>
      </w:r>
      <w:r>
        <w:rPr>
          <w:b/>
        </w:rPr>
        <w:instrText xml:space="preserve"> DATE \@"MMMM\ d', 'yyyy" </w:instrText>
      </w:r>
      <w:r>
        <w:rPr>
          <w:b/>
        </w:rPr>
        <w:fldChar w:fldCharType="separate"/>
      </w:r>
      <w:r>
        <w:rPr>
          <w:b/>
        </w:rPr>
        <w:t>September 28, 2025</w:t>
      </w:r>
      <w:r>
        <w:rPr>
          <w:b/>
        </w:rPr>
        <w:fldChar w:fldCharType="end"/>
      </w:r>
    </w:p>
    <w:p>
      <w:pPr>
        <w:pStyle w:val="Normal"/>
        <w:pBdr>
          <w:bottom w:val="double" w:sz="6" w:space="1" w:color="000000"/>
        </w:pBdr>
        <w:tabs>
          <w:tab w:val="clear" w:pos="720"/>
          <w:tab w:val="left" w:pos="-1440" w:leader="none"/>
        </w:tabs>
        <w:ind w:hanging="1440" w:start="1440" w:end="0"/>
        <w:rPr>
          <w:b/>
        </w:rPr>
      </w:pPr>
      <w:r>
        <w:rPr>
          <w:b/>
        </w:rPr>
      </w:r>
    </w:p>
    <w:p>
      <w:pPr>
        <w:pStyle w:val="Normal"/>
        <w:rPr>
          <w:b/>
        </w:rPr>
      </w:pPr>
      <w:r>
        <w:rPr>
          <w:b/>
        </w:rPr>
      </w:r>
    </w:p>
    <w:p>
      <w:pPr>
        <w:pStyle w:val="Normal"/>
        <w:rPr/>
      </w:pPr>
      <w:r>
        <w:rPr/>
        <w:t>As requested, MRW &amp; Associates, Inc. (MRW) has developed a preliminary estimate of the rate impact of amortizing current procurement undercollections by PG&amp;E and SCE. This memorandum briefly describes the approach, assumptions, and results of these assessments. We also address the limitations of the analysis.  This preliminary assessment was developed on a very expedited basis as an input to the current policy debate.</w:t>
      </w:r>
    </w:p>
    <w:p>
      <w:pPr>
        <w:pStyle w:val="Normal"/>
        <w:rPr/>
      </w:pPr>
      <w:r>
        <w:rPr/>
      </w:r>
    </w:p>
    <w:p>
      <w:pPr>
        <w:pStyle w:val="Heading2"/>
        <w:ind w:hanging="0" w:start="0"/>
        <w:rPr/>
      </w:pPr>
      <w:r>
        <w:rPr/>
        <w:t>Approach</w:t>
      </w:r>
    </w:p>
    <w:p>
      <w:pPr>
        <w:pStyle w:val="Normal"/>
        <w:rPr/>
      </w:pPr>
      <w:r>
        <w:rPr/>
      </w:r>
    </w:p>
    <w:p>
      <w:pPr>
        <w:pStyle w:val="Normal"/>
        <w:rPr/>
      </w:pPr>
      <w:r>
        <w:rPr/>
        <w:t>In this assessment, we evaluated the change in rates resulting from the amortization of the undercollections by PG&amp;E and SCE. The analysis focused on three broad customer classes: residential, commercial and industrial. For each of these customer classes, we examined three different approaches to amortization of undercollection:</w:t>
      </w:r>
    </w:p>
    <w:p>
      <w:pPr>
        <w:pStyle w:val="Normal"/>
        <w:rPr/>
      </w:pPr>
      <w:r>
        <w:rPr/>
      </w:r>
    </w:p>
    <w:p>
      <w:pPr>
        <w:pStyle w:val="Normal"/>
        <w:numPr>
          <w:ilvl w:val="0"/>
          <w:numId w:val="2"/>
        </w:numPr>
        <w:rPr/>
      </w:pPr>
      <w:r>
        <w:rPr/>
        <w:t>An even revenue recovery each year over a defined period (</w:t>
      </w:r>
      <w:r>
        <w:rPr>
          <w:i/>
        </w:rPr>
        <w:t>a la</w:t>
      </w:r>
      <w:r>
        <w:rPr/>
        <w:t xml:space="preserve"> a conventional mortgage). This approach allocates the increase in revenue requirements on a per-kWh basis.</w:t>
      </w:r>
    </w:p>
    <w:p>
      <w:pPr>
        <w:pStyle w:val="Normal"/>
        <w:numPr>
          <w:ilvl w:val="0"/>
          <w:numId w:val="2"/>
        </w:numPr>
        <w:rPr/>
      </w:pPr>
      <w:r>
        <w:rPr/>
        <w:t>An approach with less revenue recovery in the near-term with periodic increases in revenue recovery up to a cap. Collected revenues increase by 2.5% per quarter until either the undercollection has been fully amortized or a cap of 25% increase in revenue collection is reached, at which rate increases stop. This approach results in less near-term rate impacts on customers than does the mortgage style amortization approach. Like the first approach, increases in revenue requirements are also allocated on a per-kWh basis.</w:t>
      </w:r>
    </w:p>
    <w:p>
      <w:pPr>
        <w:pStyle w:val="Normal"/>
        <w:numPr>
          <w:ilvl w:val="0"/>
          <w:numId w:val="2"/>
        </w:numPr>
        <w:rPr/>
      </w:pPr>
      <w:r>
        <w:rPr/>
        <w:t>An approach with small across-the-board rate increases in the near-term with periodic rate increases until a rate increase cap is reached. Each customer class’s rates increase on an equal percentage basis until the undercollection has been fully amortized or a revenue increase cap of 25% is reached. If the cap is hit, then the cumulative revenue increase does not increase but is held constant until the undercollection is repaid. This approach uses equal percentage rate increases for each customer class (rather than using an equal per-kWh allocation approach like in approaches 1 and 2).</w:t>
      </w:r>
    </w:p>
    <w:p>
      <w:pPr>
        <w:pStyle w:val="Normal"/>
        <w:rPr/>
      </w:pPr>
      <w:r>
        <w:rPr/>
      </w:r>
    </w:p>
    <w:p>
      <w:pPr>
        <w:pStyle w:val="Normal"/>
        <w:rPr/>
      </w:pPr>
      <w:r>
        <w:rPr/>
        <w:t>There are a couple of exceptions to the approach outlined above. First, MRW assumed that 1/3 of all sales to the residential class would not receive a rate increase. This serves as a proxy for exempting low income customers from bearing responsibility for paying off the undercollection.</w:t>
      </w:r>
    </w:p>
    <w:p>
      <w:pPr>
        <w:pStyle w:val="Normal"/>
        <w:rPr/>
      </w:pPr>
      <w:r>
        <w:rPr/>
      </w:r>
    </w:p>
    <w:p>
      <w:pPr>
        <w:pStyle w:val="Normal"/>
        <w:rPr/>
      </w:pPr>
      <w:r>
        <w:rPr/>
        <w:t xml:space="preserve">Second, it is important to emphasize that with approaches 1 and 2, a specific amount of the undercollection is recovered each quarter and that the rate increase for each customer class is equal (on a per-kWh basis).  Approach 3, however, assumes that each customer class is faced with a similar percentage increase in rates (to recover the same amount of revenue as in approach 2). This approach results in somewhat higher rates for customers that have higher rates initially (e.g., residential) than does Approach 2. </w:t>
      </w:r>
    </w:p>
    <w:p>
      <w:pPr>
        <w:pStyle w:val="Normal"/>
        <w:rPr/>
      </w:pPr>
      <w:r>
        <w:rPr/>
      </w:r>
    </w:p>
    <w:p>
      <w:pPr>
        <w:pStyle w:val="Heading2"/>
        <w:ind w:hanging="0" w:start="0"/>
        <w:rPr/>
      </w:pPr>
      <w:r>
        <w:rPr/>
        <w:t>Assumptions</w:t>
      </w:r>
    </w:p>
    <w:p>
      <w:pPr>
        <w:pStyle w:val="Normal"/>
        <w:rPr/>
      </w:pPr>
      <w:r>
        <w:rPr/>
      </w:r>
    </w:p>
    <w:p>
      <w:pPr>
        <w:pStyle w:val="Normal"/>
        <w:rPr/>
      </w:pPr>
      <w:r>
        <w:rPr/>
        <w:t>Using the three approaches outlined above, MRW developed a spreadsheet-based model to analyze the rate and revenue impacts associated with the different amortization approaches. To develop quantitative estimates for the rate and revenue impacts, MRW made the following key assumptions:</w:t>
      </w:r>
    </w:p>
    <w:p>
      <w:pPr>
        <w:pStyle w:val="Normal"/>
        <w:rPr/>
      </w:pPr>
      <w:r>
        <w:rPr/>
      </w:r>
    </w:p>
    <w:p>
      <w:pPr>
        <w:pStyle w:val="Normal"/>
        <w:numPr>
          <w:ilvl w:val="0"/>
          <w:numId w:val="3"/>
        </w:numPr>
        <w:rPr/>
      </w:pPr>
      <w:r>
        <w:rPr/>
        <w:t>No increase in load as a result of load growth, change in population, increases in energy intensity, etc.</w:t>
      </w:r>
    </w:p>
    <w:p>
      <w:pPr>
        <w:pStyle w:val="Normal"/>
        <w:numPr>
          <w:ilvl w:val="0"/>
          <w:numId w:val="3"/>
        </w:numPr>
        <w:rPr/>
      </w:pPr>
      <w:r>
        <w:rPr/>
        <w:t>No decrease in load as a result of price increases.</w:t>
      </w:r>
    </w:p>
    <w:p>
      <w:pPr>
        <w:pStyle w:val="Normal"/>
        <w:numPr>
          <w:ilvl w:val="0"/>
          <w:numId w:val="3"/>
        </w:numPr>
        <w:rPr/>
      </w:pPr>
      <w:r>
        <w:rPr/>
        <w:t>No increase in rates (other than recovery of undercollection). This makes the percentage rate increase seem larger than it would otherwise be.</w:t>
      </w:r>
    </w:p>
    <w:p>
      <w:pPr>
        <w:pStyle w:val="Normal"/>
        <w:numPr>
          <w:ilvl w:val="0"/>
          <w:numId w:val="3"/>
        </w:numPr>
        <w:rPr/>
      </w:pPr>
      <w:r>
        <w:rPr/>
        <w:t>$5 billion in undercollection for PG&amp;E and the same amount for SCE.</w:t>
      </w:r>
    </w:p>
    <w:p>
      <w:pPr>
        <w:pStyle w:val="Normal"/>
        <w:numPr>
          <w:ilvl w:val="0"/>
          <w:numId w:val="3"/>
        </w:numPr>
        <w:rPr/>
      </w:pPr>
      <w:r>
        <w:rPr/>
        <w:t>2.5% average increase in rates per quarter until the cumulative rate increase is 25%, at which point rates are frozen until the undercollection is fully amortized.</w:t>
      </w:r>
    </w:p>
    <w:p>
      <w:pPr>
        <w:pStyle w:val="Normal"/>
        <w:numPr>
          <w:ilvl w:val="0"/>
          <w:numId w:val="3"/>
        </w:numPr>
        <w:rPr/>
      </w:pPr>
      <w:r>
        <w:rPr/>
        <w:t>7% carrying cost on the undercollection.</w:t>
      </w:r>
    </w:p>
    <w:p>
      <w:pPr>
        <w:pStyle w:val="Normal"/>
        <w:numPr>
          <w:ilvl w:val="0"/>
          <w:numId w:val="3"/>
        </w:numPr>
        <w:rPr/>
      </w:pPr>
      <w:r>
        <w:rPr/>
        <w:t>7% discount rate.</w:t>
      </w:r>
    </w:p>
    <w:p>
      <w:pPr>
        <w:pStyle w:val="Normal"/>
        <w:numPr>
          <w:ilvl w:val="0"/>
          <w:numId w:val="3"/>
        </w:numPr>
        <w:rPr/>
      </w:pPr>
      <w:r>
        <w:rPr/>
        <w:t>Starting point for rate analysis was frozen rates plus 1 cent/kWh.</w:t>
      </w:r>
    </w:p>
    <w:p>
      <w:pPr>
        <w:pStyle w:val="Normal"/>
        <w:numPr>
          <w:ilvl w:val="0"/>
          <w:numId w:val="3"/>
        </w:numPr>
        <w:rPr/>
      </w:pPr>
      <w:r>
        <w:rPr/>
        <w:t>Starting point for revenue was 1999 sales revenue plus 1 cent/kWh times the 1999 sales. These revenue estimates are found in Tables 1 and 2.</w:t>
      </w:r>
    </w:p>
    <w:p>
      <w:pPr>
        <w:pStyle w:val="Normal"/>
        <w:keepNext w:val="true"/>
        <w:keepLines/>
        <w:rPr/>
      </w:pPr>
      <w:r>
        <w:rPr/>
      </w:r>
    </w:p>
    <w:p>
      <w:pPr>
        <w:pStyle w:val="Heading1"/>
        <w:keepLines/>
        <w:tabs>
          <w:tab w:val="clear" w:pos="4680"/>
        </w:tabs>
        <w:ind w:hanging="0" w:start="0"/>
        <w:rPr/>
      </w:pPr>
      <w:r>
        <w:rPr/>
        <w:t>Table 1</w:t>
      </w:r>
    </w:p>
    <w:tbl>
      <w:tblPr>
        <w:tblW w:w="3377" w:type="dxa"/>
        <w:jc w:val="center"/>
        <w:tblInd w:w="0" w:type="dxa"/>
        <w:tblLayout w:type="fixed"/>
        <w:tblCellMar>
          <w:top w:w="0" w:type="dxa"/>
          <w:start w:w="30" w:type="dxa"/>
          <w:bottom w:w="0" w:type="dxa"/>
          <w:end w:w="30" w:type="dxa"/>
        </w:tblCellMar>
      </w:tblPr>
      <w:tblGrid>
        <w:gridCol w:w="2114"/>
        <w:gridCol w:w="1263"/>
      </w:tblGrid>
      <w:tr>
        <w:trPr>
          <w:trHeight w:val="247" w:hRule="atLeast"/>
        </w:trPr>
        <w:tc>
          <w:tcPr>
            <w:tcW w:w="3377" w:type="dxa"/>
            <w:gridSpan w:val="2"/>
            <w:tcBorders>
              <w:top w:val="single" w:sz="4" w:space="0" w:color="000000"/>
              <w:start w:val="single" w:sz="4" w:space="0" w:color="000000"/>
              <w:bottom w:val="single" w:sz="4" w:space="0" w:color="000000"/>
              <w:end w:val="single" w:sz="4" w:space="0" w:color="000000"/>
            </w:tcBorders>
          </w:tcPr>
          <w:p>
            <w:pPr>
              <w:pStyle w:val="Heading4"/>
              <w:keepLines/>
              <w:ind w:hanging="0" w:start="0"/>
              <w:rPr/>
            </w:pPr>
            <w:r>
              <w:rPr/>
              <w:t>PG&amp;E Current Revenues</w:t>
            </w:r>
          </w:p>
        </w:tc>
      </w:tr>
      <w:tr>
        <w:trPr>
          <w:trHeight w:val="247" w:hRule="atLeast"/>
        </w:trPr>
        <w:tc>
          <w:tcPr>
            <w:tcW w:w="3377" w:type="dxa"/>
            <w:gridSpan w:val="2"/>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(including 1 c/kWh surcharge)</w:t>
            </w:r>
          </w:p>
        </w:tc>
      </w:tr>
      <w:tr>
        <w:trPr>
          <w:trHeight w:val="494"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color w:val="000000"/>
                <w:sz w:val="20"/>
              </w:rPr>
            </w:pPr>
            <w:r>
              <w:rPr>
                <w:color w:val="000000"/>
                <w:sz w:val="20"/>
              </w:rPr>
            </w:r>
          </w:p>
          <w:p>
            <w:pPr>
              <w:pStyle w:val="Normal"/>
              <w:keepNext w:val="true"/>
              <w:keepLines/>
              <w:rPr>
                <w:color w:val="000000"/>
                <w:sz w:val="20"/>
              </w:rPr>
            </w:pPr>
            <w:r>
              <w:rPr>
                <w:color w:val="000000"/>
                <w:sz w:val="20"/>
              </w:rPr>
              <w:t>Class</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rPr>
                <w:color w:val="000000"/>
                <w:sz w:val="20"/>
              </w:rPr>
            </w:pPr>
            <w:r>
              <w:rPr>
                <w:color w:val="000000"/>
                <w:sz w:val="20"/>
              </w:rPr>
              <w:t>Revenues ($million)</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keepNext w:val="true"/>
              <w:keepLines/>
              <w:rPr>
                <w:color w:val="000000"/>
                <w:sz w:val="20"/>
              </w:rPr>
            </w:pPr>
            <w:r>
              <w:rPr>
                <w:color w:val="000000"/>
                <w:sz w:val="20"/>
              </w:rPr>
              <w:t>Residential</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3,239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keepNext w:val="true"/>
              <w:keepLines/>
              <w:rPr>
                <w:color w:val="000000"/>
                <w:sz w:val="20"/>
              </w:rPr>
            </w:pPr>
            <w:r>
              <w:rPr>
                <w:color w:val="000000"/>
                <w:sz w:val="20"/>
              </w:rPr>
              <w:t>Commercial</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3,141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keepNext w:val="true"/>
              <w:keepLines/>
              <w:rPr>
                <w:color w:val="000000"/>
                <w:sz w:val="20"/>
              </w:rPr>
            </w:pPr>
            <w:r>
              <w:rPr>
                <w:color w:val="000000"/>
                <w:sz w:val="20"/>
              </w:rPr>
              <w:t>Industrial</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1,031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keepNext w:val="true"/>
              <w:keepLines/>
              <w:rPr>
                <w:color w:val="000000"/>
                <w:sz w:val="20"/>
              </w:rPr>
            </w:pPr>
            <w:r>
              <w:rPr>
                <w:color w:val="000000"/>
                <w:sz w:val="20"/>
              </w:rPr>
              <w:t>Other</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501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keepNext w:val="true"/>
              <w:keepLines/>
              <w:rPr>
                <w:color w:val="000000"/>
                <w:sz w:val="20"/>
              </w:rPr>
            </w:pPr>
            <w:r>
              <w:rPr>
                <w:color w:val="000000"/>
                <w:sz w:val="20"/>
              </w:rPr>
              <w:t>Total</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7,913 </w:t>
            </w:r>
          </w:p>
        </w:tc>
      </w:tr>
    </w:tbl>
    <w:p>
      <w:pPr>
        <w:pStyle w:val="Normal"/>
        <w:keepNext w:val="true"/>
        <w:keepLines/>
        <w:rPr/>
      </w:pPr>
      <w:r>
        <w:rPr/>
      </w:r>
    </w:p>
    <w:p>
      <w:pPr>
        <w:pStyle w:val="Normal"/>
        <w:rPr/>
      </w:pPr>
      <w:r>
        <w:rPr/>
      </w:r>
    </w:p>
    <w:p>
      <w:pPr>
        <w:pStyle w:val="Normal"/>
        <w:rPr/>
      </w:pPr>
      <w:r>
        <w:rPr/>
      </w:r>
    </w:p>
    <w:p>
      <w:pPr>
        <w:pStyle w:val="Heading1"/>
        <w:tabs>
          <w:tab w:val="clear" w:pos="4680"/>
        </w:tabs>
        <w:ind w:hanging="0" w:start="0"/>
        <w:rPr/>
      </w:pPr>
      <w:r>
        <w:rPr/>
        <w:t>Table 2</w:t>
      </w:r>
    </w:p>
    <w:tbl>
      <w:tblPr>
        <w:tblW w:w="3377" w:type="dxa"/>
        <w:jc w:val="center"/>
        <w:tblInd w:w="0" w:type="dxa"/>
        <w:tblLayout w:type="fixed"/>
        <w:tblCellMar>
          <w:top w:w="0" w:type="dxa"/>
          <w:start w:w="30" w:type="dxa"/>
          <w:bottom w:w="0" w:type="dxa"/>
          <w:end w:w="30" w:type="dxa"/>
        </w:tblCellMar>
      </w:tblPr>
      <w:tblGrid>
        <w:gridCol w:w="2114"/>
        <w:gridCol w:w="1263"/>
      </w:tblGrid>
      <w:tr>
        <w:trPr>
          <w:trHeight w:val="247" w:hRule="atLeast"/>
        </w:trPr>
        <w:tc>
          <w:tcPr>
            <w:tcW w:w="3377" w:type="dxa"/>
            <w:gridSpan w:val="2"/>
            <w:tcBorders>
              <w:top w:val="single" w:sz="4" w:space="0" w:color="000000"/>
              <w:start w:val="single" w:sz="4" w:space="0" w:color="000000"/>
              <w:bottom w:val="single" w:sz="4" w:space="0" w:color="000000"/>
              <w:end w:val="single" w:sz="4" w:space="0" w:color="000000"/>
            </w:tcBorders>
          </w:tcPr>
          <w:p>
            <w:pPr>
              <w:pStyle w:val="Heading4"/>
              <w:ind w:hanging="0" w:start="0"/>
              <w:rPr/>
            </w:pPr>
            <w:r>
              <w:rPr/>
              <w:t>SCE Current Revenues</w:t>
            </w:r>
          </w:p>
        </w:tc>
      </w:tr>
      <w:tr>
        <w:trPr>
          <w:trHeight w:val="247" w:hRule="atLeast"/>
        </w:trPr>
        <w:tc>
          <w:tcPr>
            <w:tcW w:w="3377"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(excluding 1 c/kWh surcharge)</w:t>
            </w:r>
          </w:p>
        </w:tc>
      </w:tr>
      <w:tr>
        <w:trPr>
          <w:trHeight w:val="494"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0"/>
              </w:rPr>
            </w:pPr>
            <w:r>
              <w:rPr>
                <w:color w:val="000000"/>
                <w:sz w:val="20"/>
              </w:rPr>
            </w:r>
          </w:p>
          <w:p>
            <w:pPr>
              <w:pStyle w:val="Normal"/>
              <w:rPr>
                <w:color w:val="000000"/>
                <w:sz w:val="20"/>
              </w:rPr>
            </w:pPr>
            <w:r>
              <w:rPr>
                <w:color w:val="000000"/>
                <w:sz w:val="20"/>
              </w:rPr>
              <w:t>Class</w:t>
            </w:r>
          </w:p>
        </w:tc>
        <w:tc>
          <w:tcPr>
            <w:tcW w:w="1263"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Revenues ($million)</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Residential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3,032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Commercial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3,225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Industrial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868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Other</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732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Total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7,857 </w:t>
            </w:r>
          </w:p>
        </w:tc>
      </w:tr>
    </w:tbl>
    <w:p>
      <w:pPr>
        <w:pStyle w:val="Normal"/>
        <w:rPr/>
      </w:pPr>
      <w:r>
        <w:rPr/>
      </w:r>
    </w:p>
    <w:p>
      <w:pPr>
        <w:pStyle w:val="Normal"/>
        <w:rPr/>
      </w:pPr>
      <w:r>
        <w:rPr/>
      </w:r>
    </w:p>
    <w:p>
      <w:pPr>
        <w:pStyle w:val="Normal"/>
        <w:numPr>
          <w:ilvl w:val="0"/>
          <w:numId w:val="3"/>
        </w:numPr>
        <w:rPr/>
      </w:pPr>
      <w:r>
        <w:rPr/>
        <w:t>Used 1999 Financial and Statistical reports from SCE and PG&amp;E for class-average rates and revenue estimates. These rate estimates are found in Table 3 and 4.</w:t>
      </w:r>
    </w:p>
    <w:p>
      <w:pPr>
        <w:pStyle w:val="Normal"/>
        <w:rPr/>
      </w:pPr>
      <w:r>
        <w:rPr/>
      </w:r>
    </w:p>
    <w:p>
      <w:pPr>
        <w:pStyle w:val="Heading1"/>
        <w:tabs>
          <w:tab w:val="clear" w:pos="4680"/>
        </w:tabs>
        <w:ind w:hanging="0" w:start="0"/>
        <w:rPr/>
      </w:pPr>
      <w:r>
        <w:rPr/>
        <w:t>Table 3</w:t>
      </w:r>
    </w:p>
    <w:tbl>
      <w:tblPr>
        <w:tblW w:w="3377" w:type="dxa"/>
        <w:jc w:val="center"/>
        <w:tblInd w:w="0" w:type="dxa"/>
        <w:tblLayout w:type="fixed"/>
        <w:tblCellMar>
          <w:top w:w="0" w:type="dxa"/>
          <w:start w:w="30" w:type="dxa"/>
          <w:bottom w:w="0" w:type="dxa"/>
          <w:end w:w="30" w:type="dxa"/>
        </w:tblCellMar>
      </w:tblPr>
      <w:tblGrid>
        <w:gridCol w:w="2114"/>
        <w:gridCol w:w="1263"/>
      </w:tblGrid>
      <w:tr>
        <w:trPr>
          <w:trHeight w:val="247" w:hRule="atLeast"/>
        </w:trPr>
        <w:tc>
          <w:tcPr>
            <w:tcW w:w="3377" w:type="dxa"/>
            <w:gridSpan w:val="2"/>
            <w:tcBorders>
              <w:top w:val="single" w:sz="4" w:space="0" w:color="000000"/>
              <w:start w:val="single" w:sz="4" w:space="0" w:color="000000"/>
              <w:bottom w:val="single" w:sz="4" w:space="0" w:color="000000"/>
              <w:end w:val="single" w:sz="4" w:space="0" w:color="000000"/>
            </w:tcBorders>
          </w:tcPr>
          <w:p>
            <w:pPr>
              <w:pStyle w:val="Heading4"/>
              <w:ind w:hanging="0" w:start="0"/>
              <w:rPr/>
            </w:pPr>
            <w:r>
              <w:rPr/>
              <w:t>PG&amp;E Current Average Rates</w:t>
            </w:r>
          </w:p>
        </w:tc>
      </w:tr>
      <w:tr>
        <w:trPr>
          <w:trHeight w:val="247" w:hRule="atLeast"/>
        </w:trPr>
        <w:tc>
          <w:tcPr>
            <w:tcW w:w="3377"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(includes 1 c/kWh surcharge)</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Class</w:t>
            </w:r>
          </w:p>
        </w:tc>
        <w:tc>
          <w:tcPr>
            <w:tcW w:w="1263"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Rate (c/kWh)</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Residential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11.68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Commercial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10.32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Industrial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6.17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Other</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11.55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Total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9.99 </w:t>
            </w:r>
          </w:p>
        </w:tc>
      </w:tr>
    </w:tbl>
    <w:p>
      <w:pPr>
        <w:pStyle w:val="Normal"/>
        <w:keepNext w:val="true"/>
        <w:keepLines/>
        <w:rPr/>
      </w:pPr>
      <w:r>
        <w:rPr/>
      </w:r>
    </w:p>
    <w:p>
      <w:pPr>
        <w:pStyle w:val="Heading2"/>
        <w:keepLines/>
        <w:ind w:hanging="0" w:start="0"/>
        <w:jc w:val="center"/>
        <w:rPr/>
      </w:pPr>
      <w:r>
        <w:rPr/>
        <w:t>Table 4</w:t>
      </w:r>
    </w:p>
    <w:tbl>
      <w:tblPr>
        <w:tblW w:w="3377" w:type="dxa"/>
        <w:jc w:val="center"/>
        <w:tblInd w:w="0" w:type="dxa"/>
        <w:tblLayout w:type="fixed"/>
        <w:tblCellMar>
          <w:top w:w="0" w:type="dxa"/>
          <w:start w:w="30" w:type="dxa"/>
          <w:bottom w:w="0" w:type="dxa"/>
          <w:end w:w="30" w:type="dxa"/>
        </w:tblCellMar>
      </w:tblPr>
      <w:tblGrid>
        <w:gridCol w:w="2114"/>
        <w:gridCol w:w="1263"/>
      </w:tblGrid>
      <w:tr>
        <w:trPr>
          <w:trHeight w:val="247" w:hRule="atLeast"/>
        </w:trPr>
        <w:tc>
          <w:tcPr>
            <w:tcW w:w="3377" w:type="dxa"/>
            <w:gridSpan w:val="2"/>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color w:val="000000"/>
              </w:rPr>
            </w:pPr>
            <w:r>
              <w:rPr>
                <w:b/>
                <w:color w:val="000000"/>
              </w:rPr>
              <w:t>SCE Current Average Rates</w:t>
            </w:r>
          </w:p>
        </w:tc>
      </w:tr>
      <w:tr>
        <w:trPr>
          <w:trHeight w:val="247" w:hRule="atLeast"/>
        </w:trPr>
        <w:tc>
          <w:tcPr>
            <w:tcW w:w="3377" w:type="dxa"/>
            <w:gridSpan w:val="2"/>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(includes 1 c/kWh surcharge)</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keepNext w:val="true"/>
              <w:keepLines/>
              <w:rPr>
                <w:color w:val="000000"/>
                <w:sz w:val="20"/>
              </w:rPr>
            </w:pPr>
            <w:r>
              <w:rPr>
                <w:color w:val="000000"/>
                <w:sz w:val="20"/>
              </w:rPr>
              <w:t>Class</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rPr>
                <w:color w:val="000000"/>
                <w:sz w:val="20"/>
              </w:rPr>
            </w:pPr>
            <w:r>
              <w:rPr>
                <w:color w:val="000000"/>
                <w:sz w:val="20"/>
              </w:rPr>
              <w:t>Rate (c/kWh)</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keepNext w:val="true"/>
              <w:keepLines/>
              <w:rPr>
                <w:color w:val="000000"/>
                <w:sz w:val="20"/>
              </w:rPr>
            </w:pPr>
            <w:r>
              <w:rPr>
                <w:color w:val="000000"/>
                <w:sz w:val="20"/>
              </w:rPr>
              <w:t>Residential</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12.45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keepNext w:val="true"/>
              <w:keepLines/>
              <w:rPr>
                <w:color w:val="000000"/>
                <w:sz w:val="20"/>
              </w:rPr>
            </w:pPr>
            <w:r>
              <w:rPr>
                <w:color w:val="000000"/>
                <w:sz w:val="20"/>
              </w:rPr>
              <w:t>Commercial</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9.75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keepNext w:val="true"/>
              <w:keepLines/>
              <w:rPr>
                <w:color w:val="000000"/>
                <w:sz w:val="20"/>
              </w:rPr>
            </w:pPr>
            <w:r>
              <w:rPr>
                <w:color w:val="000000"/>
                <w:sz w:val="20"/>
              </w:rPr>
              <w:t>Industrial</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6.56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keepNext w:val="true"/>
              <w:keepLines/>
              <w:rPr>
                <w:color w:val="000000"/>
                <w:sz w:val="20"/>
              </w:rPr>
            </w:pPr>
            <w:r>
              <w:rPr>
                <w:color w:val="000000"/>
                <w:sz w:val="20"/>
              </w:rPr>
              <w:t>Other</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9.24 </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keepNext w:val="true"/>
              <w:keepLines/>
              <w:rPr>
                <w:color w:val="000000"/>
                <w:sz w:val="20"/>
              </w:rPr>
            </w:pPr>
            <w:r>
              <w:rPr>
                <w:color w:val="000000"/>
                <w:sz w:val="20"/>
              </w:rPr>
              <w:t>Total</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10.00 </w:t>
            </w:r>
          </w:p>
        </w:tc>
      </w:tr>
    </w:tbl>
    <w:p>
      <w:pPr>
        <w:pStyle w:val="Normal"/>
        <w:keepNext w:val="true"/>
        <w:keepLines/>
        <w:rPr>
          <w:b/>
        </w:rPr>
      </w:pPr>
      <w:r>
        <w:rPr>
          <w:b/>
        </w:rPr>
      </w:r>
    </w:p>
    <w:p>
      <w:pPr>
        <w:pStyle w:val="Normal"/>
        <w:rPr>
          <w:b/>
        </w:rPr>
      </w:pPr>
      <w:r>
        <w:rPr>
          <w:b/>
        </w:rPr>
      </w:r>
    </w:p>
    <w:p>
      <w:pPr>
        <w:pStyle w:val="Heading2"/>
        <w:ind w:hanging="0" w:start="0"/>
        <w:rPr/>
      </w:pPr>
      <w:r>
        <w:rPr/>
        <w:t>Results</w:t>
      </w:r>
    </w:p>
    <w:p>
      <w:pPr>
        <w:pStyle w:val="Normal"/>
        <w:rPr/>
      </w:pPr>
      <w:r>
        <w:rPr/>
      </w:r>
    </w:p>
    <w:p>
      <w:pPr>
        <w:pStyle w:val="Normal"/>
        <w:rPr/>
      </w:pPr>
      <w:r>
        <w:rPr/>
        <w:t>Using the assumptions and approaches discussed above, MRW developed estimates of the rate and revenue impact of the full amortization of the undercollection amounts for PG&amp;E and SCE. This section presents these results.</w:t>
      </w:r>
    </w:p>
    <w:p>
      <w:pPr>
        <w:pStyle w:val="Normal"/>
        <w:rPr/>
      </w:pPr>
      <w:r>
        <w:rPr/>
      </w:r>
    </w:p>
    <w:p>
      <w:pPr>
        <w:pStyle w:val="Heading3"/>
        <w:ind w:hanging="0" w:start="0"/>
        <w:rPr/>
      </w:pPr>
      <w:r>
        <w:rPr/>
        <w:t>PG&amp;E</w:t>
      </w:r>
    </w:p>
    <w:p>
      <w:pPr>
        <w:pStyle w:val="Normal"/>
        <w:rPr/>
      </w:pPr>
      <w:r>
        <w:rPr/>
      </w:r>
    </w:p>
    <w:p>
      <w:pPr>
        <w:pStyle w:val="Normal"/>
        <w:rPr/>
      </w:pPr>
      <w:r>
        <w:rPr/>
        <w:t>For the purposes of this analysis, MRW assumed that PG&amp;E’s current undercollection was $5 billion. The rate impact of amortization of the undercollection using the three approaches discussed above are presented below.</w:t>
      </w:r>
    </w:p>
    <w:p>
      <w:pPr>
        <w:pStyle w:val="Normal"/>
        <w:rPr/>
      </w:pPr>
      <w:r>
        <w:rPr/>
      </w:r>
    </w:p>
    <w:p>
      <w:pPr>
        <w:pStyle w:val="Normal"/>
        <w:rPr/>
      </w:pPr>
      <w:r>
        <w:rPr/>
        <w:tab/>
        <w:t>Approach 1: Mortgage-Style Amortization</w:t>
      </w:r>
    </w:p>
    <w:p>
      <w:pPr>
        <w:pStyle w:val="Normal"/>
        <w:rPr/>
      </w:pPr>
      <w:r>
        <w:rPr/>
      </w:r>
    </w:p>
    <w:p>
      <w:pPr>
        <w:pStyle w:val="Normal"/>
        <w:rPr/>
      </w:pPr>
      <w:r>
        <w:rPr/>
        <w:t>Amortizing the undercollection over 10 years at a 7% interest rate results in an annual revenue requirement of  $699 million. This would result in an average rate increase of 8.8% (0.88 cents/kWh) if all customers were to be assessed the rate increase. However, by excluding 1/3 of residential sales from a rate increase, the average rate increase becomes 10.2% (1.00 cents/kWh) for customers that receive the rate increase. Using a 5-year amortization period, the annual revenue requirement is $1,194 million. This would result in an average rate increase of 15.1% (1.51 cents/kWh) if all customers were to be assessed the rate increase. However, by excluding 1/3 of residential sales from a rate increase, the average rate increase becomes 17.5% (1.71 cents/kWh) for customers that receive the rate increase. Table 5 summarizes these results.</w:t>
      </w:r>
    </w:p>
    <w:p>
      <w:pPr>
        <w:pStyle w:val="Normal"/>
        <w:keepNext w:val="true"/>
        <w:keepLines/>
        <w:rPr/>
      </w:pPr>
      <w:r>
        <w:rPr/>
      </w:r>
    </w:p>
    <w:p>
      <w:pPr>
        <w:pStyle w:val="Footer"/>
        <w:keepNext w:val="true"/>
        <w:keepLines/>
        <w:tabs>
          <w:tab w:val="clear" w:pos="4320"/>
          <w:tab w:val="clear" w:pos="8640"/>
        </w:tabs>
        <w:jc w:val="center"/>
        <w:rPr/>
      </w:pPr>
      <w:r>
        <w:rPr/>
        <w:t>Table 5</w:t>
      </w:r>
    </w:p>
    <w:tbl>
      <w:tblPr>
        <w:tblW w:w="5066" w:type="dxa"/>
        <w:jc w:val="center"/>
        <w:tblInd w:w="0" w:type="dxa"/>
        <w:tblLayout w:type="fixed"/>
        <w:tblCellMar>
          <w:top w:w="0" w:type="dxa"/>
          <w:start w:w="30" w:type="dxa"/>
          <w:bottom w:w="0" w:type="dxa"/>
          <w:end w:w="30" w:type="dxa"/>
        </w:tblCellMar>
      </w:tblPr>
      <w:tblGrid>
        <w:gridCol w:w="1025"/>
        <w:gridCol w:w="1010"/>
        <w:gridCol w:w="1011"/>
        <w:gridCol w:w="1010"/>
        <w:gridCol w:w="1010"/>
      </w:tblGrid>
      <w:tr>
        <w:trPr>
          <w:trHeight w:val="280" w:hRule="atLeast"/>
        </w:trPr>
        <w:tc>
          <w:tcPr>
            <w:tcW w:w="5066" w:type="dxa"/>
            <w:gridSpan w:val="5"/>
            <w:tcBorders>
              <w:top w:val="single" w:sz="4" w:space="0" w:color="000000"/>
              <w:start w:val="single" w:sz="4" w:space="0" w:color="000000"/>
              <w:bottom w:val="single" w:sz="4" w:space="0" w:color="000000"/>
              <w:end w:val="single" w:sz="4" w:space="0" w:color="000000"/>
            </w:tcBorders>
          </w:tcPr>
          <w:p>
            <w:pPr>
              <w:pStyle w:val="Heading4"/>
              <w:keepLines/>
              <w:ind w:hanging="0" w:start="0"/>
              <w:rPr/>
            </w:pPr>
            <w:r>
              <w:rPr/>
              <w:t>PG&amp;E Mortgage Style Recovery of Undercollection</w:t>
            </w:r>
          </w:p>
        </w:tc>
      </w:tr>
      <w:tr>
        <w:trPr>
          <w:trHeight w:val="247" w:hRule="atLeast"/>
        </w:trPr>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end"/>
              <w:rPr>
                <w:color w:val="000000"/>
                <w:sz w:val="20"/>
              </w:rPr>
            </w:pPr>
            <w:r>
              <w:rPr>
                <w:color w:val="000000"/>
                <w:sz w:val="20"/>
              </w:rPr>
            </w:r>
          </w:p>
        </w:tc>
        <w:tc>
          <w:tcPr>
            <w:tcW w:w="4041" w:type="dxa"/>
            <w:gridSpan w:val="4"/>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Length of Recovery Period</w:t>
            </w:r>
          </w:p>
        </w:tc>
      </w:tr>
      <w:tr>
        <w:trPr>
          <w:trHeight w:val="247" w:hRule="atLeast"/>
        </w:trPr>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end"/>
              <w:rPr>
                <w:color w:val="000000"/>
                <w:sz w:val="20"/>
              </w:rPr>
            </w:pPr>
            <w:r>
              <w:rPr>
                <w:color w:val="000000"/>
                <w:sz w:val="20"/>
              </w:rPr>
            </w:r>
          </w:p>
        </w:tc>
        <w:tc>
          <w:tcPr>
            <w:tcW w:w="2021" w:type="dxa"/>
            <w:gridSpan w:val="2"/>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5 years</w:t>
            </w:r>
          </w:p>
        </w:tc>
        <w:tc>
          <w:tcPr>
            <w:tcW w:w="2020" w:type="dxa"/>
            <w:gridSpan w:val="2"/>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 years</w:t>
            </w:r>
          </w:p>
        </w:tc>
      </w:tr>
      <w:tr>
        <w:trPr>
          <w:trHeight w:val="494" w:hRule="atLeast"/>
        </w:trPr>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end"/>
              <w:rPr>
                <w:color w:val="000000"/>
                <w:sz w:val="20"/>
              </w:rPr>
            </w:pPr>
            <w:r>
              <w:rPr>
                <w:color w:val="000000"/>
                <w:sz w:val="20"/>
              </w:rPr>
            </w:r>
          </w:p>
        </w:tc>
        <w:tc>
          <w:tcPr>
            <w:tcW w:w="1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Rate Inc (c/kWh)</w:t>
            </w:r>
          </w:p>
        </w:tc>
        <w:tc>
          <w:tcPr>
            <w:tcW w:w="1011"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Rate Inc (%)</w:t>
            </w:r>
          </w:p>
        </w:tc>
        <w:tc>
          <w:tcPr>
            <w:tcW w:w="1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Rate Inc (c/kWh)</w:t>
            </w:r>
          </w:p>
        </w:tc>
        <w:tc>
          <w:tcPr>
            <w:tcW w:w="101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Rate Inc (%)</w:t>
            </w:r>
          </w:p>
        </w:tc>
      </w:tr>
      <w:tr>
        <w:trPr>
          <w:trHeight w:val="247" w:hRule="atLeast"/>
        </w:trPr>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No Res. Exclusion</w:t>
            </w:r>
          </w:p>
        </w:tc>
        <w:tc>
          <w:tcPr>
            <w:tcW w:w="101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1.51</w:t>
            </w:r>
          </w:p>
        </w:tc>
        <w:tc>
          <w:tcPr>
            <w:tcW w:w="1011"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15.1%</w:t>
            </w:r>
          </w:p>
        </w:tc>
        <w:tc>
          <w:tcPr>
            <w:tcW w:w="101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0.88</w:t>
            </w:r>
          </w:p>
        </w:tc>
        <w:tc>
          <w:tcPr>
            <w:tcW w:w="101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8.8%</w:t>
            </w:r>
          </w:p>
        </w:tc>
      </w:tr>
      <w:tr>
        <w:trPr>
          <w:trHeight w:val="247" w:hRule="atLeast"/>
        </w:trPr>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Res. Exclusion</w:t>
            </w:r>
          </w:p>
        </w:tc>
        <w:tc>
          <w:tcPr>
            <w:tcW w:w="101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1.71</w:t>
            </w:r>
          </w:p>
        </w:tc>
        <w:tc>
          <w:tcPr>
            <w:tcW w:w="1011"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17.5%</w:t>
            </w:r>
          </w:p>
        </w:tc>
        <w:tc>
          <w:tcPr>
            <w:tcW w:w="101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1.00</w:t>
            </w:r>
          </w:p>
        </w:tc>
        <w:tc>
          <w:tcPr>
            <w:tcW w:w="101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10.2%</w:t>
            </w:r>
          </w:p>
        </w:tc>
      </w:tr>
    </w:tbl>
    <w:p>
      <w:pPr>
        <w:pStyle w:val="Normal"/>
        <w:keepNext w:val="true"/>
        <w:keepLines/>
        <w:rPr/>
      </w:pPr>
      <w:r>
        <w:rPr/>
      </w:r>
    </w:p>
    <w:p>
      <w:pPr>
        <w:pStyle w:val="Normal"/>
        <w:rPr/>
      </w:pPr>
      <w:r>
        <w:rPr/>
        <w:t>Under this approach, MRW assumed that the rate increases would be allocated to different customer classes on an equal cents/kWh basis. This results in somewhat lower rate increases (on a percentage basis) for residential customers than for commercial or industrial customers relative to other possible allocation methods. Table 6 presents the class-specific rate increases assuming different amortization periods.</w:t>
      </w:r>
    </w:p>
    <w:p>
      <w:pPr>
        <w:pStyle w:val="Normal"/>
        <w:rPr/>
      </w:pPr>
      <w:r>
        <w:rPr/>
      </w:r>
    </w:p>
    <w:p>
      <w:pPr>
        <w:pStyle w:val="Heading1"/>
        <w:tabs>
          <w:tab w:val="clear" w:pos="4680"/>
        </w:tabs>
        <w:ind w:hanging="0" w:start="0"/>
        <w:rPr/>
      </w:pPr>
      <w:r>
        <w:rPr/>
        <w:t>Table 6</w:t>
      </w:r>
    </w:p>
    <w:tbl>
      <w:tblPr>
        <w:tblW w:w="7824" w:type="dxa"/>
        <w:jc w:val="center"/>
        <w:tblInd w:w="0" w:type="dxa"/>
        <w:tblLayout w:type="fixed"/>
        <w:tblCellMar>
          <w:top w:w="0" w:type="dxa"/>
          <w:start w:w="30" w:type="dxa"/>
          <w:bottom w:w="0" w:type="dxa"/>
          <w:end w:w="30" w:type="dxa"/>
        </w:tblCellMar>
      </w:tblPr>
      <w:tblGrid>
        <w:gridCol w:w="2114"/>
        <w:gridCol w:w="1263"/>
        <w:gridCol w:w="1262"/>
        <w:gridCol w:w="1135"/>
        <w:gridCol w:w="1025"/>
        <w:gridCol w:w="1025"/>
      </w:tblGrid>
      <w:tr>
        <w:trPr>
          <w:trHeight w:val="247" w:hRule="atLeast"/>
        </w:trPr>
        <w:tc>
          <w:tcPr>
            <w:tcW w:w="7824" w:type="dxa"/>
            <w:gridSpan w:val="6"/>
            <w:tcBorders>
              <w:top w:val="single" w:sz="4" w:space="0" w:color="000000"/>
              <w:start w:val="single" w:sz="4" w:space="0" w:color="000000"/>
              <w:bottom w:val="single" w:sz="4" w:space="0" w:color="000000"/>
              <w:end w:val="single" w:sz="4" w:space="0" w:color="000000"/>
            </w:tcBorders>
          </w:tcPr>
          <w:p>
            <w:pPr>
              <w:pStyle w:val="Heading4"/>
              <w:ind w:hanging="0" w:start="0"/>
              <w:rPr/>
            </w:pPr>
            <w:r>
              <w:rPr/>
              <w:t>PG&amp;E Class-Specific Rate Increases Under Mortgage-Style Recovery</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12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tc>
        <w:tc>
          <w:tcPr>
            <w:tcW w:w="4447" w:type="dxa"/>
            <w:gridSpan w:val="4"/>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Amortization Period</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12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tc>
        <w:tc>
          <w:tcPr>
            <w:tcW w:w="2397"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 year</w:t>
            </w:r>
          </w:p>
        </w:tc>
        <w:tc>
          <w:tcPr>
            <w:tcW w:w="2050"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 year</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Old Rate</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New Rate</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 Increase</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New Rate</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 Increase</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Residential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11.68</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12.82</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12.34</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5.7%</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Commercial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10.32</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12.03</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16.5%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11.32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9.7%</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Industrial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6.17</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7.87</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27.7%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7.17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16.2%</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Other</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11.55</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13.25</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14.8%</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12.55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8.7%</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Total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9.99</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11.49</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15.1%</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10.87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8.8%</w:t>
            </w:r>
          </w:p>
        </w:tc>
      </w:tr>
    </w:tbl>
    <w:p>
      <w:pPr>
        <w:pStyle w:val="Footer"/>
        <w:tabs>
          <w:tab w:val="clear" w:pos="4320"/>
          <w:tab w:val="clear" w:pos="8640"/>
        </w:tabs>
        <w:rPr/>
      </w:pPr>
      <w:r>
        <w:rPr/>
      </w:r>
    </w:p>
    <w:p>
      <w:pPr>
        <w:pStyle w:val="Normal"/>
        <w:rPr/>
      </w:pPr>
      <w:r>
        <w:rPr/>
      </w:r>
    </w:p>
    <w:p>
      <w:pPr>
        <w:pStyle w:val="Normal"/>
        <w:rPr/>
      </w:pPr>
      <w:r>
        <w:rPr/>
        <w:tab/>
        <w:t>Approach 2: Phased Revenue Recovery</w:t>
      </w:r>
    </w:p>
    <w:p>
      <w:pPr>
        <w:pStyle w:val="Normal"/>
        <w:rPr/>
      </w:pPr>
      <w:r>
        <w:rPr/>
      </w:r>
    </w:p>
    <w:p>
      <w:pPr>
        <w:pStyle w:val="Normal"/>
        <w:rPr/>
      </w:pPr>
      <w:r>
        <w:rPr/>
        <w:t>This approach assumes that total revenue requirements increase by 2.5% per quarter until either the undercollection is fully amortized or the total revenue requirement is 25% greater than current revenue requirements, at which time the periodic increases in revenue requirements are stopped and rates are held constant until the undercollection is paid down. This results in an initial quarterly payment of $49 million (i.e., 2.5% of PG&amp;E’s total quarterly revenue requirement of $1,978 million). Revenues increase by $49 million per quarter for 5 quarters, at which time the cap on revenue increases is reached.  These five rate increases do not collect sufficient revenue to fully pay down the undercollection. An additional 3 years of rates at the cap are needed to fully pay down the undercollection (i.e., the undercollection is fully paid down in 4.25 years).</w:t>
      </w:r>
    </w:p>
    <w:p>
      <w:pPr>
        <w:pStyle w:val="Normal"/>
        <w:rPr/>
      </w:pPr>
      <w:r>
        <w:rPr/>
      </w:r>
    </w:p>
    <w:p>
      <w:pPr>
        <w:pStyle w:val="Normal"/>
        <w:rPr/>
      </w:pPr>
      <w:r>
        <w:rPr/>
        <w:t>As with the mortgage-style recovery approach discussed above, this approach assumes that the revenue increases are allocated to customer classes on an equal cents/kWh basis. Rates for different customer classes are presented in Table 7.</w:t>
      </w:r>
    </w:p>
    <w:p>
      <w:pPr>
        <w:pStyle w:val="Normal"/>
        <w:keepNext w:val="true"/>
        <w:keepLines/>
        <w:rPr/>
      </w:pPr>
      <w:r>
        <w:rPr/>
      </w:r>
    </w:p>
    <w:p>
      <w:pPr>
        <w:pStyle w:val="Heading1"/>
        <w:keepLines/>
        <w:tabs>
          <w:tab w:val="clear" w:pos="4680"/>
        </w:tabs>
        <w:ind w:hanging="0" w:start="0"/>
        <w:rPr/>
      </w:pPr>
      <w:r>
        <w:rPr/>
        <w:t>Table 7</w:t>
      </w:r>
    </w:p>
    <w:tbl>
      <w:tblPr>
        <w:tblW w:w="5710" w:type="dxa"/>
        <w:jc w:val="center"/>
        <w:tblInd w:w="0" w:type="dxa"/>
        <w:tblLayout w:type="fixed"/>
        <w:tblCellMar>
          <w:top w:w="0" w:type="dxa"/>
          <w:start w:w="30" w:type="dxa"/>
          <w:bottom w:w="0" w:type="dxa"/>
          <w:end w:w="30" w:type="dxa"/>
        </w:tblCellMar>
      </w:tblPr>
      <w:tblGrid>
        <w:gridCol w:w="1262"/>
        <w:gridCol w:w="1263"/>
        <w:gridCol w:w="1135"/>
        <w:gridCol w:w="1025"/>
        <w:gridCol w:w="1025"/>
      </w:tblGrid>
      <w:tr>
        <w:trPr>
          <w:trHeight w:val="247" w:hRule="atLeast"/>
        </w:trPr>
        <w:tc>
          <w:tcPr>
            <w:tcW w:w="5710" w:type="dxa"/>
            <w:gridSpan w:val="5"/>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color w:val="000000"/>
              </w:rPr>
            </w:pPr>
            <w:r>
              <w:rPr>
                <w:b/>
                <w:color w:val="000000"/>
              </w:rPr>
              <w:t>PG&amp;E Class-Specific Rate Increases</w:t>
            </w:r>
          </w:p>
          <w:p>
            <w:pPr>
              <w:pStyle w:val="Normal"/>
              <w:keepNext w:val="true"/>
              <w:keepLines/>
              <w:jc w:val="center"/>
              <w:rPr>
                <w:color w:val="000000"/>
              </w:rPr>
            </w:pPr>
            <w:r>
              <w:rPr>
                <w:b/>
                <w:color w:val="000000"/>
              </w:rPr>
              <w:t>Using Phased-In Revenue Increases</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Quarter</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Residential</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Commercial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Industrial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Total</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0</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9.99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11.87</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10.61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6.45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2</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12.06</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10.89</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6.73</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12.24</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7.01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10.74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4</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12.43</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11.45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7.30</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5</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12.62</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11.74</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7.58</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12.81</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12.02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7.86</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13.00</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12.30</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8.15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11.74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13.19</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12.59</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8.43</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9</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13.37</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12.87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8.71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13.56</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13.15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8.99</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13.56</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13.15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8.99</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13.56</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13.15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8.99</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13.56</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13.15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8.99</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14</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13.56</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13.15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8.99</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15</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13.56</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13.15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8.99</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16</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13.56</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13.15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8.99</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17</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13.56</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13.15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8.99</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18</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9.99</w:t>
            </w:r>
          </w:p>
        </w:tc>
      </w:tr>
    </w:tbl>
    <w:p>
      <w:pPr>
        <w:pStyle w:val="Footer"/>
        <w:keepNext w:val="true"/>
        <w:keepLines/>
        <w:tabs>
          <w:tab w:val="clear" w:pos="4320"/>
          <w:tab w:val="clear" w:pos="8640"/>
        </w:tabs>
        <w:rPr/>
      </w:pPr>
      <w:r>
        <w:rPr/>
      </w:r>
    </w:p>
    <w:p>
      <w:pPr>
        <w:pStyle w:val="Normal"/>
        <w:rPr/>
      </w:pPr>
      <w:r>
        <w:rPr/>
        <w:t>As noted above, under this allocation approach, the undercollection is fully recovered in 17 quarters and, as a result, rates would return to current levels in quarter 18.</w:t>
      </w:r>
    </w:p>
    <w:p>
      <w:pPr>
        <w:pStyle w:val="Normal"/>
        <w:rPr/>
      </w:pPr>
      <w:r>
        <w:rPr/>
      </w:r>
    </w:p>
    <w:p>
      <w:pPr>
        <w:pStyle w:val="Normal"/>
        <w:rPr/>
      </w:pPr>
      <w:r>
        <w:rPr/>
        <w:t>A variation to this approach would be to phase in revenue increases until such time that the revenue increase is sufficient to pay down the undercollection over a 10 year period. Using this approach, the maximum revenue increase is 9.2% (i.e., $183 million).  In order to fully recover the undercollection over a five year period using a phase-in revenue increase, the maximum revenue increase is 18.5% (i.e., $367 million). Tables 8 and 9 present these results for 10 and 5 year recovery periods, respectively.</w:t>
      </w:r>
    </w:p>
    <w:p>
      <w:pPr>
        <w:pStyle w:val="Normal"/>
        <w:keepNext w:val="true"/>
        <w:keepLines/>
        <w:rPr/>
      </w:pPr>
      <w:r>
        <w:rPr/>
      </w:r>
    </w:p>
    <w:p>
      <w:pPr>
        <w:pStyle w:val="Heading1"/>
        <w:keepLines/>
        <w:tabs>
          <w:tab w:val="clear" w:pos="4680"/>
        </w:tabs>
        <w:ind w:hanging="0" w:start="0"/>
        <w:rPr/>
      </w:pPr>
      <w:r>
        <w:rPr/>
        <w:t>Table 8</w:t>
      </w:r>
    </w:p>
    <w:tbl>
      <w:tblPr>
        <w:tblW w:w="5710" w:type="dxa"/>
        <w:jc w:val="center"/>
        <w:tblInd w:w="0" w:type="dxa"/>
        <w:tblLayout w:type="fixed"/>
        <w:tblCellMar>
          <w:top w:w="0" w:type="dxa"/>
          <w:start w:w="30" w:type="dxa"/>
          <w:bottom w:w="0" w:type="dxa"/>
          <w:end w:w="30" w:type="dxa"/>
        </w:tblCellMar>
      </w:tblPr>
      <w:tblGrid>
        <w:gridCol w:w="1262"/>
        <w:gridCol w:w="1263"/>
        <w:gridCol w:w="1135"/>
        <w:gridCol w:w="1025"/>
        <w:gridCol w:w="1025"/>
      </w:tblGrid>
      <w:tr>
        <w:trPr>
          <w:trHeight w:val="247" w:hRule="atLeast"/>
        </w:trPr>
        <w:tc>
          <w:tcPr>
            <w:tcW w:w="5710" w:type="dxa"/>
            <w:gridSpan w:val="5"/>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color w:val="000000"/>
              </w:rPr>
            </w:pPr>
            <w:r>
              <w:rPr>
                <w:b/>
                <w:color w:val="000000"/>
              </w:rPr>
              <w:t>PG&amp;E Class-Specific Rate Increases</w:t>
            </w:r>
          </w:p>
          <w:p>
            <w:pPr>
              <w:pStyle w:val="Heading4"/>
              <w:keepLines/>
              <w:ind w:hanging="0" w:start="0"/>
              <w:rPr/>
            </w:pPr>
            <w:r>
              <w:rPr/>
              <w:t>Using Phased-In Revenue Increases</w:t>
            </w:r>
          </w:p>
          <w:p>
            <w:pPr>
              <w:pStyle w:val="Normal"/>
              <w:keepNext w:val="true"/>
              <w:keepLines/>
              <w:jc w:val="center"/>
              <w:rPr>
                <w:color w:val="000000"/>
                <w:sz w:val="20"/>
              </w:rPr>
            </w:pPr>
            <w:r>
              <w:rPr>
                <w:b/>
                <w:color w:val="000000"/>
              </w:rPr>
              <w:t>(10 year Recovery Period)</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Quarter</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Residential</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Commercial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Industrial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Total</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0</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9.99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11.87</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10.61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6.45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2</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12.06</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10.89</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6.73</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12.24</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7.01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10.74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4-40</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12.37</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11.37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7.21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10.91</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41</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9.99</w:t>
            </w:r>
          </w:p>
        </w:tc>
      </w:tr>
    </w:tbl>
    <w:p>
      <w:pPr>
        <w:pStyle w:val="Footer"/>
        <w:keepNext w:val="true"/>
        <w:keepLines/>
        <w:tabs>
          <w:tab w:val="clear" w:pos="4320"/>
          <w:tab w:val="clear" w:pos="8640"/>
        </w:tabs>
        <w:rPr/>
      </w:pPr>
      <w:r>
        <w:rPr/>
      </w:r>
    </w:p>
    <w:p>
      <w:pPr>
        <w:pStyle w:val="Normal"/>
        <w:rPr/>
      </w:pPr>
      <w:r>
        <w:rPr/>
      </w:r>
    </w:p>
    <w:p>
      <w:pPr>
        <w:pStyle w:val="Heading2"/>
        <w:ind w:hanging="0" w:start="0"/>
        <w:jc w:val="center"/>
        <w:rPr/>
      </w:pPr>
      <w:r>
        <w:rPr/>
        <w:t>Table 9</w:t>
      </w:r>
    </w:p>
    <w:tbl>
      <w:tblPr>
        <w:tblW w:w="5710" w:type="dxa"/>
        <w:jc w:val="center"/>
        <w:tblInd w:w="0" w:type="dxa"/>
        <w:tblLayout w:type="fixed"/>
        <w:tblCellMar>
          <w:top w:w="0" w:type="dxa"/>
          <w:start w:w="30" w:type="dxa"/>
          <w:bottom w:w="0" w:type="dxa"/>
          <w:end w:w="30" w:type="dxa"/>
        </w:tblCellMar>
      </w:tblPr>
      <w:tblGrid>
        <w:gridCol w:w="1262"/>
        <w:gridCol w:w="1263"/>
        <w:gridCol w:w="1135"/>
        <w:gridCol w:w="1025"/>
        <w:gridCol w:w="1025"/>
      </w:tblGrid>
      <w:tr>
        <w:trPr>
          <w:trHeight w:val="247" w:hRule="atLeast"/>
        </w:trPr>
        <w:tc>
          <w:tcPr>
            <w:tcW w:w="5710" w:type="dxa"/>
            <w:gridSpan w:val="5"/>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PG&amp;E Class-Specific Rate Increases</w:t>
            </w:r>
          </w:p>
          <w:p>
            <w:pPr>
              <w:pStyle w:val="Heading4"/>
              <w:ind w:hanging="0" w:start="0"/>
              <w:rPr/>
            </w:pPr>
            <w:r>
              <w:rPr/>
              <w:t>Using Phased-In Revenue Increases</w:t>
            </w:r>
          </w:p>
          <w:p>
            <w:pPr>
              <w:pStyle w:val="Normal"/>
              <w:jc w:val="center"/>
              <w:rPr>
                <w:color w:val="000000"/>
                <w:sz w:val="20"/>
              </w:rPr>
            </w:pPr>
            <w:r>
              <w:rPr>
                <w:b/>
                <w:color w:val="000000"/>
              </w:rPr>
              <w:t>(5 year Recovery Period)</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Quarter</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Residential</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Commercial</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Industrial</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Total</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0</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11.87</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10.61</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6.45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2</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12.06</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10.89</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6.73</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12.24</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11.17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7.01</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10.74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4</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12.43</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11.45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7.30</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12.62</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11.74</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7.58</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12.81</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12.02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7.86</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13.00</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12.30</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8.15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11.74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8-20</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13.08</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8.26</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11.84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21</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9.99</w:t>
            </w:r>
          </w:p>
        </w:tc>
      </w:tr>
    </w:tbl>
    <w:p>
      <w:pPr>
        <w:pStyle w:val="Normal"/>
        <w:rPr/>
      </w:pPr>
      <w:r>
        <w:rPr/>
      </w:r>
    </w:p>
    <w:p>
      <w:pPr>
        <w:pStyle w:val="Normal"/>
        <w:rPr/>
      </w:pPr>
      <w:r>
        <w:rPr/>
        <w:tab/>
        <w:t>Approach 3: Phased Rate Increases</w:t>
      </w:r>
    </w:p>
    <w:p>
      <w:pPr>
        <w:pStyle w:val="Normal"/>
        <w:rPr/>
      </w:pPr>
      <w:r>
        <w:rPr/>
      </w:r>
    </w:p>
    <w:p>
      <w:pPr>
        <w:pStyle w:val="Normal"/>
        <w:rPr/>
      </w:pPr>
      <w:r>
        <w:rPr/>
        <w:t>This approach assumes that all customers (except for exempt residential customers) receive an equal percentage rate increase. This approach has the same average revenue collection, as does the prior approach. However, since rate increases are allocated on an equal percentage basis (rather than an equal cents/kWh basis), the class-specific rates are different than under the prior approach. Rates for different customer classes are presented in Table 10. The results in Table 10 should be compared to results in Table 7. Note that residential rates are slightly higher in this case but industrial rates are significantly lower.</w:t>
      </w:r>
    </w:p>
    <w:p>
      <w:pPr>
        <w:pStyle w:val="Footer"/>
        <w:keepNext w:val="true"/>
        <w:keepLines/>
        <w:tabs>
          <w:tab w:val="clear" w:pos="4320"/>
          <w:tab w:val="clear" w:pos="8640"/>
        </w:tabs>
        <w:rPr/>
      </w:pPr>
      <w:r>
        <w:rPr/>
      </w:r>
    </w:p>
    <w:p>
      <w:pPr>
        <w:pStyle w:val="Heading2"/>
        <w:keepLines/>
        <w:ind w:hanging="0" w:start="0"/>
        <w:jc w:val="center"/>
        <w:rPr/>
      </w:pPr>
      <w:r>
        <w:rPr/>
        <w:t>Table 10</w:t>
      </w:r>
    </w:p>
    <w:tbl>
      <w:tblPr>
        <w:tblW w:w="5710" w:type="dxa"/>
        <w:jc w:val="center"/>
        <w:tblInd w:w="0" w:type="dxa"/>
        <w:tblLayout w:type="fixed"/>
        <w:tblCellMar>
          <w:top w:w="0" w:type="dxa"/>
          <w:start w:w="30" w:type="dxa"/>
          <w:bottom w:w="0" w:type="dxa"/>
          <w:end w:w="30" w:type="dxa"/>
        </w:tblCellMar>
      </w:tblPr>
      <w:tblGrid>
        <w:gridCol w:w="1262"/>
        <w:gridCol w:w="1263"/>
        <w:gridCol w:w="1135"/>
        <w:gridCol w:w="1025"/>
        <w:gridCol w:w="1025"/>
      </w:tblGrid>
      <w:tr>
        <w:trPr>
          <w:trHeight w:val="247" w:hRule="atLeast"/>
        </w:trPr>
        <w:tc>
          <w:tcPr>
            <w:tcW w:w="5710" w:type="dxa"/>
            <w:gridSpan w:val="5"/>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color w:val="000000"/>
              </w:rPr>
            </w:pPr>
            <w:r>
              <w:rPr>
                <w:b/>
                <w:color w:val="000000"/>
              </w:rPr>
              <w:t>PG&amp;E Class-Specific Rate Increases</w:t>
            </w:r>
          </w:p>
          <w:p>
            <w:pPr>
              <w:pStyle w:val="Normal"/>
              <w:keepNext w:val="true"/>
              <w:keepLines/>
              <w:jc w:val="center"/>
              <w:rPr>
                <w:color w:val="000000"/>
                <w:sz w:val="20"/>
              </w:rPr>
            </w:pPr>
            <w:r>
              <w:rPr>
                <w:b/>
                <w:color w:val="000000"/>
              </w:rPr>
              <w:t>Using Phased-In Revenue Increases</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Quarter</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Residential</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Commercial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Industrial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Total</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0</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9.99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11.90</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10.62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6.35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2</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12.13</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10.92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6.52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12.35</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11.22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6.70</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10.74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4</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12.58</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11.52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6.88</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5</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12.81</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11.82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7.06</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13.03</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12.12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7.24</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13.26</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7.42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11.74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13.48</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12.72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7.60</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9</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13.71</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13.01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7.77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13.93</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13.31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7.95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13.93</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13.31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7.95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13.93</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13.31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7.95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13.93</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13.31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7.95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14</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13.93</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13.31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7.95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15</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13.93</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13.31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7.95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16</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13.93</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13.31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7.95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17</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13.93</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13.31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7.95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12.48</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18</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9.99</w:t>
            </w:r>
          </w:p>
        </w:tc>
      </w:tr>
    </w:tbl>
    <w:p>
      <w:pPr>
        <w:pStyle w:val="Normal"/>
        <w:keepNext w:val="true"/>
        <w:keepLines/>
        <w:rPr/>
      </w:pPr>
      <w:r>
        <w:rPr/>
        <w:t xml:space="preserve"> </w:t>
      </w:r>
    </w:p>
    <w:p>
      <w:pPr>
        <w:pStyle w:val="Normal"/>
        <w:rPr/>
      </w:pPr>
      <w:r>
        <w:rPr/>
      </w:r>
    </w:p>
    <w:p>
      <w:pPr>
        <w:pStyle w:val="Heading3"/>
        <w:ind w:hanging="0" w:start="0"/>
        <w:rPr/>
      </w:pPr>
      <w:r>
        <w:rPr/>
        <w:t>SCE</w:t>
      </w:r>
    </w:p>
    <w:p>
      <w:pPr>
        <w:pStyle w:val="Normal"/>
        <w:rPr/>
      </w:pPr>
      <w:r>
        <w:rPr/>
      </w:r>
    </w:p>
    <w:p>
      <w:pPr>
        <w:pStyle w:val="Normal"/>
        <w:rPr/>
      </w:pPr>
      <w:r>
        <w:rPr/>
        <w:t>For the purposes of this analysis, MRW assumed that SCE’s current undercollection was $5 billion. The rate impact of amortization of the undercollection using the three approaches discussed above are presented below.</w:t>
      </w:r>
    </w:p>
    <w:p>
      <w:pPr>
        <w:pStyle w:val="Normal"/>
        <w:rPr/>
      </w:pPr>
      <w:r>
        <w:rPr/>
      </w:r>
    </w:p>
    <w:p>
      <w:pPr>
        <w:pStyle w:val="Normal"/>
        <w:rPr/>
      </w:pPr>
      <w:r>
        <w:rPr/>
        <w:tab/>
        <w:t>Approach 1: Mortgage-Style Amortization</w:t>
      </w:r>
    </w:p>
    <w:p>
      <w:pPr>
        <w:pStyle w:val="Normal"/>
        <w:rPr/>
      </w:pPr>
      <w:r>
        <w:rPr/>
      </w:r>
    </w:p>
    <w:p>
      <w:pPr>
        <w:pStyle w:val="Normal"/>
        <w:rPr/>
      </w:pPr>
      <w:r>
        <w:rPr/>
      </w:r>
    </w:p>
    <w:p>
      <w:pPr>
        <w:pStyle w:val="Normal"/>
        <w:rPr/>
      </w:pPr>
      <w:r>
        <w:rPr/>
        <w:t xml:space="preserve">Amortizing this over 10 years at a 7% interest rate results in an annual revenue requirement of  $699 million. This would result in an average rate increase of 0.89 cents/kWh if all customers were to be assessed the rate increase. However, by excluding 1/3 of residential sales from a rate increase, the average rate increase becomes 0.99 cents/kWh. Using a 5 year amortization period, the annual revenue requirement is $1,194 million. This would result in an average rate increase of 1.52 cents/kWh if all customers were to be assessed the rate increase. However, by excluding 1/3 of residential sales from a rate increase, the average rate increase becomes 1.69 cents/kWh. </w:t>
      </w:r>
    </w:p>
    <w:p>
      <w:pPr>
        <w:pStyle w:val="Normal"/>
        <w:rPr/>
      </w:pPr>
      <w:r>
        <w:rPr/>
      </w:r>
    </w:p>
    <w:p>
      <w:pPr>
        <w:pStyle w:val="Normal"/>
        <w:rPr/>
      </w:pPr>
      <w:r>
        <w:rPr/>
      </w:r>
    </w:p>
    <w:p>
      <w:pPr>
        <w:pStyle w:val="Normal"/>
        <w:rPr/>
      </w:pPr>
      <w:r>
        <w:rPr/>
        <w:t>Amortizing the undercollection over 10 years at a 7% interest rate results in an annual revenue requirement of  $699 million. This would result in an average rate increase of 8.9% (0.89 cents/kWh) if all customers were to be assessed the rate increase. However, by excluding 1/3 of residential sales from a rate increase, the average rate increase becomes 10.2% (0.99 cents/kWh) for customers that receive the rate increase. Using a 5-year amortization period, the annual revenue requirement is $1,194 million. This would result in an average rate increase of 15.2% (1.52 cents/kWh) if all customers were to be assessed the rate increase. However, by excluding 1/3 of residential sales from a rate increase, the average rate increase becomes 17.4% (1.69 cents/kWh) for customers that receive the rate increase. Table 11 summarizes these results.</w:t>
      </w:r>
    </w:p>
    <w:p>
      <w:pPr>
        <w:pStyle w:val="Normal"/>
        <w:rPr/>
      </w:pPr>
      <w:r>
        <w:rPr/>
      </w:r>
    </w:p>
    <w:p>
      <w:pPr>
        <w:pStyle w:val="Footer"/>
        <w:tabs>
          <w:tab w:val="clear" w:pos="4320"/>
          <w:tab w:val="clear" w:pos="8640"/>
        </w:tabs>
        <w:jc w:val="center"/>
        <w:rPr/>
      </w:pPr>
      <w:r>
        <w:rPr/>
        <w:t>Table 11</w:t>
      </w:r>
    </w:p>
    <w:tbl>
      <w:tblPr>
        <w:tblW w:w="5066" w:type="dxa"/>
        <w:jc w:val="center"/>
        <w:tblInd w:w="0" w:type="dxa"/>
        <w:tblLayout w:type="fixed"/>
        <w:tblCellMar>
          <w:top w:w="0" w:type="dxa"/>
          <w:start w:w="30" w:type="dxa"/>
          <w:bottom w:w="0" w:type="dxa"/>
          <w:end w:w="30" w:type="dxa"/>
        </w:tblCellMar>
      </w:tblPr>
      <w:tblGrid>
        <w:gridCol w:w="1025"/>
        <w:gridCol w:w="1010"/>
        <w:gridCol w:w="1011"/>
        <w:gridCol w:w="1010"/>
        <w:gridCol w:w="1010"/>
      </w:tblGrid>
      <w:tr>
        <w:trPr>
          <w:trHeight w:val="280" w:hRule="atLeast"/>
        </w:trPr>
        <w:tc>
          <w:tcPr>
            <w:tcW w:w="5066" w:type="dxa"/>
            <w:gridSpan w:val="5"/>
            <w:tcBorders>
              <w:top w:val="single" w:sz="4" w:space="0" w:color="000000"/>
              <w:start w:val="single" w:sz="4" w:space="0" w:color="000000"/>
              <w:bottom w:val="single" w:sz="4" w:space="0" w:color="000000"/>
              <w:end w:val="single" w:sz="4" w:space="0" w:color="000000"/>
            </w:tcBorders>
          </w:tcPr>
          <w:p>
            <w:pPr>
              <w:pStyle w:val="Heading4"/>
              <w:ind w:hanging="0" w:start="0"/>
              <w:rPr/>
            </w:pPr>
            <w:r>
              <w:rPr/>
              <w:t>SCE Mortgage Style Recovery of Undercollection</w:t>
            </w:r>
          </w:p>
        </w:tc>
      </w:tr>
      <w:tr>
        <w:trPr>
          <w:trHeight w:val="247" w:hRule="atLeast"/>
        </w:trPr>
        <w:tc>
          <w:tcPr>
            <w:tcW w:w="1025"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4041" w:type="dxa"/>
            <w:gridSpan w:val="4"/>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Length of Recovery Period</w:t>
            </w:r>
          </w:p>
        </w:tc>
      </w:tr>
      <w:tr>
        <w:trPr>
          <w:trHeight w:val="247" w:hRule="atLeast"/>
        </w:trPr>
        <w:tc>
          <w:tcPr>
            <w:tcW w:w="1025"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2021"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 years</w:t>
            </w:r>
          </w:p>
        </w:tc>
        <w:tc>
          <w:tcPr>
            <w:tcW w:w="2020"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 years</w:t>
            </w:r>
          </w:p>
        </w:tc>
      </w:tr>
      <w:tr>
        <w:trPr>
          <w:trHeight w:val="494" w:hRule="atLeast"/>
        </w:trPr>
        <w:tc>
          <w:tcPr>
            <w:tcW w:w="1025"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1010"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Rate Inc (c/kWh)</w:t>
            </w:r>
          </w:p>
        </w:tc>
        <w:tc>
          <w:tcPr>
            <w:tcW w:w="1011"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Rate Inc (%)</w:t>
            </w:r>
          </w:p>
        </w:tc>
        <w:tc>
          <w:tcPr>
            <w:tcW w:w="1010"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Rate Inc (c/kWh)</w:t>
            </w:r>
          </w:p>
        </w:tc>
        <w:tc>
          <w:tcPr>
            <w:tcW w:w="1010"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Rate Inc (%)</w:t>
            </w:r>
          </w:p>
        </w:tc>
      </w:tr>
      <w:tr>
        <w:trPr>
          <w:trHeight w:val="247" w:hRule="atLeast"/>
        </w:trPr>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No Res. Exclusion</w:t>
            </w:r>
          </w:p>
        </w:tc>
        <w:tc>
          <w:tcPr>
            <w:tcW w:w="10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p>
            <w:pPr>
              <w:pStyle w:val="Normal"/>
              <w:jc w:val="center"/>
              <w:rPr>
                <w:color w:val="000000"/>
                <w:sz w:val="20"/>
              </w:rPr>
            </w:pPr>
            <w:r>
              <w:rPr>
                <w:color w:val="000000"/>
                <w:sz w:val="20"/>
              </w:rPr>
              <w:t>1.52</w:t>
            </w:r>
          </w:p>
        </w:tc>
        <w:tc>
          <w:tcPr>
            <w:tcW w:w="101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p>
            <w:pPr>
              <w:pStyle w:val="Normal"/>
              <w:jc w:val="center"/>
              <w:rPr>
                <w:color w:val="000000"/>
                <w:sz w:val="20"/>
              </w:rPr>
            </w:pPr>
            <w:r>
              <w:rPr>
                <w:color w:val="000000"/>
                <w:sz w:val="20"/>
              </w:rPr>
              <w:t>15.2%</w:t>
            </w:r>
          </w:p>
        </w:tc>
        <w:tc>
          <w:tcPr>
            <w:tcW w:w="10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p>
            <w:pPr>
              <w:pStyle w:val="Normal"/>
              <w:jc w:val="center"/>
              <w:rPr>
                <w:color w:val="000000"/>
                <w:sz w:val="20"/>
              </w:rPr>
            </w:pPr>
            <w:r>
              <w:rPr>
                <w:color w:val="000000"/>
                <w:sz w:val="20"/>
              </w:rPr>
              <w:t>0.89</w:t>
            </w:r>
          </w:p>
        </w:tc>
        <w:tc>
          <w:tcPr>
            <w:tcW w:w="10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p>
            <w:pPr>
              <w:pStyle w:val="Normal"/>
              <w:jc w:val="center"/>
              <w:rPr>
                <w:color w:val="000000"/>
                <w:sz w:val="20"/>
              </w:rPr>
            </w:pPr>
            <w:r>
              <w:rPr>
                <w:color w:val="000000"/>
                <w:sz w:val="20"/>
              </w:rPr>
              <w:t>8.9%</w:t>
            </w:r>
          </w:p>
        </w:tc>
      </w:tr>
      <w:tr>
        <w:trPr>
          <w:trHeight w:val="247" w:hRule="atLeast"/>
        </w:trPr>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Res. Exclusion</w:t>
            </w:r>
          </w:p>
        </w:tc>
        <w:tc>
          <w:tcPr>
            <w:tcW w:w="10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p>
            <w:pPr>
              <w:pStyle w:val="Normal"/>
              <w:jc w:val="center"/>
              <w:rPr>
                <w:color w:val="000000"/>
                <w:sz w:val="20"/>
              </w:rPr>
            </w:pPr>
            <w:r>
              <w:rPr>
                <w:color w:val="000000"/>
                <w:sz w:val="20"/>
              </w:rPr>
              <w:t>1.69</w:t>
            </w:r>
          </w:p>
        </w:tc>
        <w:tc>
          <w:tcPr>
            <w:tcW w:w="101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p>
            <w:pPr>
              <w:pStyle w:val="Normal"/>
              <w:jc w:val="center"/>
              <w:rPr>
                <w:color w:val="000000"/>
                <w:sz w:val="20"/>
              </w:rPr>
            </w:pPr>
            <w:r>
              <w:rPr>
                <w:color w:val="000000"/>
                <w:sz w:val="20"/>
              </w:rPr>
              <w:t>17.4%</w:t>
            </w:r>
          </w:p>
        </w:tc>
        <w:tc>
          <w:tcPr>
            <w:tcW w:w="10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p>
            <w:pPr>
              <w:pStyle w:val="Normal"/>
              <w:jc w:val="center"/>
              <w:rPr>
                <w:color w:val="000000"/>
                <w:sz w:val="20"/>
              </w:rPr>
            </w:pPr>
            <w:r>
              <w:rPr>
                <w:color w:val="000000"/>
                <w:sz w:val="20"/>
              </w:rPr>
              <w:t>0.99</w:t>
            </w:r>
          </w:p>
        </w:tc>
        <w:tc>
          <w:tcPr>
            <w:tcW w:w="10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p>
            <w:pPr>
              <w:pStyle w:val="Normal"/>
              <w:jc w:val="center"/>
              <w:rPr>
                <w:color w:val="000000"/>
                <w:sz w:val="20"/>
              </w:rPr>
            </w:pPr>
            <w:r>
              <w:rPr>
                <w:color w:val="000000"/>
                <w:sz w:val="20"/>
              </w:rPr>
              <w:t>10.2%</w:t>
            </w:r>
          </w:p>
        </w:tc>
      </w:tr>
    </w:tbl>
    <w:p>
      <w:pPr>
        <w:pStyle w:val="Normal"/>
        <w:rPr/>
      </w:pPr>
      <w:r>
        <w:rPr/>
      </w:r>
    </w:p>
    <w:p>
      <w:pPr>
        <w:pStyle w:val="Normal"/>
        <w:rPr/>
      </w:pPr>
      <w:r>
        <w:rPr/>
        <w:t>Table 12 presents the class-specific rate increases assuming different amortization periods.</w:t>
      </w:r>
    </w:p>
    <w:p>
      <w:pPr>
        <w:pStyle w:val="Normal"/>
        <w:rPr/>
      </w:pPr>
      <w:r>
        <w:rPr/>
      </w:r>
    </w:p>
    <w:p>
      <w:pPr>
        <w:pStyle w:val="Heading1"/>
        <w:tabs>
          <w:tab w:val="clear" w:pos="4680"/>
        </w:tabs>
        <w:ind w:hanging="0" w:start="0"/>
        <w:rPr/>
      </w:pPr>
      <w:r>
        <w:rPr/>
        <w:t>Table 12</w:t>
      </w:r>
    </w:p>
    <w:tbl>
      <w:tblPr>
        <w:tblW w:w="7824" w:type="dxa"/>
        <w:jc w:val="center"/>
        <w:tblInd w:w="0" w:type="dxa"/>
        <w:tblLayout w:type="fixed"/>
        <w:tblCellMar>
          <w:top w:w="0" w:type="dxa"/>
          <w:start w:w="30" w:type="dxa"/>
          <w:bottom w:w="0" w:type="dxa"/>
          <w:end w:w="30" w:type="dxa"/>
        </w:tblCellMar>
      </w:tblPr>
      <w:tblGrid>
        <w:gridCol w:w="2114"/>
        <w:gridCol w:w="1263"/>
        <w:gridCol w:w="1262"/>
        <w:gridCol w:w="1135"/>
        <w:gridCol w:w="1025"/>
        <w:gridCol w:w="1025"/>
      </w:tblGrid>
      <w:tr>
        <w:trPr>
          <w:trHeight w:val="247" w:hRule="atLeast"/>
        </w:trPr>
        <w:tc>
          <w:tcPr>
            <w:tcW w:w="7824" w:type="dxa"/>
            <w:gridSpan w:val="6"/>
            <w:tcBorders>
              <w:top w:val="single" w:sz="4" w:space="0" w:color="000000"/>
              <w:start w:val="single" w:sz="4" w:space="0" w:color="000000"/>
              <w:bottom w:val="single" w:sz="4" w:space="0" w:color="000000"/>
              <w:end w:val="single" w:sz="4" w:space="0" w:color="000000"/>
            </w:tcBorders>
          </w:tcPr>
          <w:p>
            <w:pPr>
              <w:pStyle w:val="Heading4"/>
              <w:ind w:hanging="0" w:start="0"/>
              <w:rPr/>
            </w:pPr>
            <w:r>
              <w:rPr/>
              <w:t>SCE Class-Specific Rate Increases Under Mortgage-Style Recovery</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12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tc>
        <w:tc>
          <w:tcPr>
            <w:tcW w:w="4447" w:type="dxa"/>
            <w:gridSpan w:val="4"/>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Amortization Period</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12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tc>
        <w:tc>
          <w:tcPr>
            <w:tcW w:w="2397"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 year</w:t>
            </w:r>
          </w:p>
        </w:tc>
        <w:tc>
          <w:tcPr>
            <w:tcW w:w="2050"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 year</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Old Rate</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New Rate</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 Increase</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New Rate</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 Increase</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Residential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12.45</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13.58</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9.1%</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13.11</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5.3%</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Commercial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9.75</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11.44</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17.4%</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10.74</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10.2%</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Industrial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6.56</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8.26</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25.8%</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7.56</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15.1%</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Other</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9.24</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10.93</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18.3%</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10.23</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10.7%</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Total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10.00</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11.51</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15.2%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10.89</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8.9%</w:t>
            </w:r>
          </w:p>
        </w:tc>
      </w:tr>
    </w:tbl>
    <w:p>
      <w:pPr>
        <w:pStyle w:val="Footer"/>
        <w:tabs>
          <w:tab w:val="clear" w:pos="4320"/>
          <w:tab w:val="clear" w:pos="8640"/>
        </w:tabs>
        <w:rPr/>
      </w:pPr>
      <w:r>
        <w:rPr/>
      </w:r>
    </w:p>
    <w:p>
      <w:pPr>
        <w:pStyle w:val="Normal"/>
        <w:rPr/>
      </w:pPr>
      <w:r>
        <w:rPr/>
      </w:r>
    </w:p>
    <w:p>
      <w:pPr>
        <w:pStyle w:val="Normal"/>
        <w:rPr/>
      </w:pPr>
      <w:r>
        <w:rPr/>
        <w:tab/>
        <w:t>Approach 2: Phased Revenue Recovery</w:t>
      </w:r>
    </w:p>
    <w:p>
      <w:pPr>
        <w:pStyle w:val="Footer"/>
        <w:tabs>
          <w:tab w:val="clear" w:pos="4320"/>
          <w:tab w:val="clear" w:pos="8640"/>
        </w:tabs>
        <w:rPr/>
      </w:pPr>
      <w:r>
        <w:rPr/>
      </w:r>
    </w:p>
    <w:p>
      <w:pPr>
        <w:pStyle w:val="Normal"/>
        <w:rPr/>
      </w:pPr>
      <w:r>
        <w:rPr/>
        <w:t>This approach assumes that total revenue requirements increase by 2.5% per quarter until either the undercollection is fully amortized or the total revenue requirement is 25% greater than current revenue requirements, at which time the periodic increases in revenue requirements are stopped and rates are held constant until the undercollection is paid down. This results in an initial quarterly payment of $49 million (i.e., 2.5% of SCE’s total quarterly revenue requirement of $1,964 million). Revenues increase by $49 million per quarter for 5 quarters, at which time the cap on revenue increases is reached.  These five rate increases do not collect sufficient revenue to fully pay down the undercollection. An additional 3 years of rates at the cap are needed to fully pay down the undercollection (i.e., the undercollection is fully paid down in 4.25 years).</w:t>
      </w:r>
    </w:p>
    <w:p>
      <w:pPr>
        <w:pStyle w:val="Normal"/>
        <w:rPr/>
      </w:pPr>
      <w:r>
        <w:rPr/>
      </w:r>
    </w:p>
    <w:p>
      <w:pPr>
        <w:pStyle w:val="Normal"/>
        <w:rPr/>
      </w:pPr>
      <w:r>
        <w:rPr/>
        <w:t>This approach assumes that the revenue increases are allocated to customer classes on an equal cents/kWh basis. Rates for different customer classes are presented in Table 13.</w:t>
      </w:r>
    </w:p>
    <w:p>
      <w:pPr>
        <w:pStyle w:val="Footer"/>
        <w:tabs>
          <w:tab w:val="clear" w:pos="4320"/>
          <w:tab w:val="clear" w:pos="8640"/>
        </w:tabs>
        <w:rPr/>
      </w:pPr>
      <w:r>
        <w:rPr/>
      </w:r>
    </w:p>
    <w:p>
      <w:pPr>
        <w:pStyle w:val="Heading1"/>
        <w:tabs>
          <w:tab w:val="clear" w:pos="4680"/>
        </w:tabs>
        <w:ind w:hanging="0" w:start="0"/>
        <w:rPr/>
      </w:pPr>
      <w:r>
        <w:rPr/>
        <w:t>Table 13</w:t>
      </w:r>
    </w:p>
    <w:tbl>
      <w:tblPr>
        <w:tblW w:w="5710" w:type="dxa"/>
        <w:jc w:val="center"/>
        <w:tblInd w:w="0" w:type="dxa"/>
        <w:tblLayout w:type="fixed"/>
        <w:tblCellMar>
          <w:top w:w="0" w:type="dxa"/>
          <w:start w:w="30" w:type="dxa"/>
          <w:bottom w:w="0" w:type="dxa"/>
          <w:end w:w="30" w:type="dxa"/>
        </w:tblCellMar>
      </w:tblPr>
      <w:tblGrid>
        <w:gridCol w:w="1262"/>
        <w:gridCol w:w="1263"/>
        <w:gridCol w:w="1135"/>
        <w:gridCol w:w="1025"/>
        <w:gridCol w:w="1025"/>
      </w:tblGrid>
      <w:tr>
        <w:trPr>
          <w:trHeight w:val="247" w:hRule="atLeast"/>
        </w:trPr>
        <w:tc>
          <w:tcPr>
            <w:tcW w:w="5710" w:type="dxa"/>
            <w:gridSpan w:val="5"/>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SCE Class-Specific Rate Increases</w:t>
            </w:r>
          </w:p>
          <w:p>
            <w:pPr>
              <w:pStyle w:val="Normal"/>
              <w:jc w:val="center"/>
              <w:rPr>
                <w:color w:val="000000"/>
              </w:rPr>
            </w:pPr>
            <w:r>
              <w:rPr>
                <w:b/>
                <w:color w:val="000000"/>
              </w:rPr>
              <w:t>Using Phased-In Revenue Increases</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Quarter</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Residential</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Commercial</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Industrial</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Total</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0</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12.45</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9.75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6.56</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10.00</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12.64</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10.02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6.84</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10.25</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2</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12.82</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10.30</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7.12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10.50</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13.01</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10.58</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7.40</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10.75</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4</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13.19</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10.86</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7.68</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11.00</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13.38</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11.14</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7.96</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11.25</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13.56</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11.42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8.24</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11.50</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13.75</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11.70</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8.51</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11.75</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13.94</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11.97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8.79</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12.00</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14.12</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12.25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9.07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12.25</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14.31</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12.53</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9.35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14.31</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12.53</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9.35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14.31</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12.53</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9.35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14.31</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12.53</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9.35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14.31</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12.53</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9.35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15</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14.31</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12.53</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9.35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16</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14.31</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12.53</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9.35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17</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14.31</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12.53</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9.35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18</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12.45</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9.75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6.56</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10.00</w:t>
            </w:r>
          </w:p>
        </w:tc>
      </w:tr>
    </w:tbl>
    <w:p>
      <w:pPr>
        <w:pStyle w:val="Footer"/>
        <w:tabs>
          <w:tab w:val="clear" w:pos="4320"/>
          <w:tab w:val="clear" w:pos="8640"/>
        </w:tabs>
        <w:rPr/>
      </w:pPr>
      <w:r>
        <w:rPr/>
      </w:r>
    </w:p>
    <w:p>
      <w:pPr>
        <w:pStyle w:val="Normal"/>
        <w:rPr/>
      </w:pPr>
      <w:r>
        <w:rPr/>
        <w:t>Using this allocation approach, the undercollection is fully recovered in 17 quarters and rates would return to current levels in quarter 18.</w:t>
      </w:r>
    </w:p>
    <w:p>
      <w:pPr>
        <w:pStyle w:val="Normal"/>
        <w:rPr/>
      </w:pPr>
      <w:r>
        <w:rPr/>
      </w:r>
    </w:p>
    <w:p>
      <w:pPr>
        <w:pStyle w:val="Normal"/>
        <w:rPr/>
      </w:pPr>
      <w:r>
        <w:rPr/>
        <w:t>A variation to this approach would be to phase in revenue increases until such time that the revenue increase is sufficient to pay down the undercollection over a 10 year period. Using this approach, the maximum revenue increase is 9.2% (i.e., $181 million).  In order to fully recover the undercollection over a five year period using a phase-in revenue increase, the maximum revenue increase is 18.9% (i.e., $372 million). Tables 14 and 15 present these results for 10 and 5 year recovery periods, respectively.</w:t>
      </w:r>
    </w:p>
    <w:p>
      <w:pPr>
        <w:pStyle w:val="Normal"/>
        <w:keepNext w:val="true"/>
        <w:keepLines/>
        <w:rPr/>
      </w:pPr>
      <w:r>
        <w:rPr/>
      </w:r>
    </w:p>
    <w:p>
      <w:pPr>
        <w:pStyle w:val="Heading1"/>
        <w:keepLines/>
        <w:tabs>
          <w:tab w:val="clear" w:pos="4680"/>
        </w:tabs>
        <w:ind w:hanging="0" w:start="0"/>
        <w:rPr/>
      </w:pPr>
      <w:r>
        <w:rPr/>
        <w:t>Table 14</w:t>
      </w:r>
    </w:p>
    <w:tbl>
      <w:tblPr>
        <w:tblW w:w="5710" w:type="dxa"/>
        <w:jc w:val="center"/>
        <w:tblInd w:w="0" w:type="dxa"/>
        <w:tblLayout w:type="fixed"/>
        <w:tblCellMar>
          <w:top w:w="0" w:type="dxa"/>
          <w:start w:w="30" w:type="dxa"/>
          <w:bottom w:w="0" w:type="dxa"/>
          <w:end w:w="30" w:type="dxa"/>
        </w:tblCellMar>
      </w:tblPr>
      <w:tblGrid>
        <w:gridCol w:w="1262"/>
        <w:gridCol w:w="1263"/>
        <w:gridCol w:w="1135"/>
        <w:gridCol w:w="1025"/>
        <w:gridCol w:w="1025"/>
      </w:tblGrid>
      <w:tr>
        <w:trPr>
          <w:trHeight w:val="247" w:hRule="atLeast"/>
        </w:trPr>
        <w:tc>
          <w:tcPr>
            <w:tcW w:w="5710" w:type="dxa"/>
            <w:gridSpan w:val="5"/>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color w:val="000000"/>
              </w:rPr>
            </w:pPr>
            <w:r>
              <w:rPr>
                <w:b/>
                <w:color w:val="000000"/>
              </w:rPr>
              <w:t>SCE Class-Specific Rate Increases</w:t>
            </w:r>
          </w:p>
          <w:p>
            <w:pPr>
              <w:pStyle w:val="Heading4"/>
              <w:keepLines/>
              <w:ind w:hanging="0" w:start="0"/>
              <w:rPr/>
            </w:pPr>
            <w:r>
              <w:rPr/>
              <w:t>Using Phased-In Revenue Increases</w:t>
            </w:r>
          </w:p>
          <w:p>
            <w:pPr>
              <w:pStyle w:val="Normal"/>
              <w:keepNext w:val="true"/>
              <w:keepLines/>
              <w:jc w:val="center"/>
              <w:rPr>
                <w:color w:val="000000"/>
                <w:sz w:val="20"/>
              </w:rPr>
            </w:pPr>
            <w:r>
              <w:rPr>
                <w:b/>
                <w:color w:val="000000"/>
              </w:rPr>
              <w:t>(10 year Recovery Period)</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Quarter</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Residential</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Commercial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Industrial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Total</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0</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12.45 </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9.75 </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6.56 </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10.00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12.64 </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10.02 </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6.84 </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10.25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2</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12.82 </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10.30 </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7.12 </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10.50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13.01 </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10.58 </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7.40 </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10.75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4-40</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13.14 </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10.77 </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7.59 </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10.92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41</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12.45 </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9.75 </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6.56 </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      </w:t>
            </w:r>
            <w:r>
              <w:rPr>
                <w:color w:val="000000"/>
                <w:sz w:val="20"/>
              </w:rPr>
              <w:t xml:space="preserve">10.00 </w:t>
            </w:r>
          </w:p>
        </w:tc>
      </w:tr>
    </w:tbl>
    <w:p>
      <w:pPr>
        <w:pStyle w:val="Footer"/>
        <w:keepNext w:val="true"/>
        <w:keepLines/>
        <w:tabs>
          <w:tab w:val="clear" w:pos="4320"/>
          <w:tab w:val="clear" w:pos="8640"/>
        </w:tabs>
        <w:rPr/>
      </w:pPr>
      <w:r>
        <w:rPr/>
      </w:r>
    </w:p>
    <w:p>
      <w:pPr>
        <w:pStyle w:val="Normal"/>
        <w:rPr/>
      </w:pPr>
      <w:r>
        <w:rPr/>
      </w:r>
    </w:p>
    <w:p>
      <w:pPr>
        <w:pStyle w:val="Heading2"/>
        <w:ind w:hanging="0" w:start="0"/>
        <w:jc w:val="center"/>
        <w:rPr/>
      </w:pPr>
      <w:r>
        <w:rPr/>
        <w:t>Table 15</w:t>
      </w:r>
    </w:p>
    <w:tbl>
      <w:tblPr>
        <w:tblW w:w="5710" w:type="dxa"/>
        <w:jc w:val="center"/>
        <w:tblInd w:w="0" w:type="dxa"/>
        <w:tblLayout w:type="fixed"/>
        <w:tblCellMar>
          <w:top w:w="0" w:type="dxa"/>
          <w:start w:w="30" w:type="dxa"/>
          <w:bottom w:w="0" w:type="dxa"/>
          <w:end w:w="30" w:type="dxa"/>
        </w:tblCellMar>
      </w:tblPr>
      <w:tblGrid>
        <w:gridCol w:w="1262"/>
        <w:gridCol w:w="1263"/>
        <w:gridCol w:w="1135"/>
        <w:gridCol w:w="1025"/>
        <w:gridCol w:w="1025"/>
      </w:tblGrid>
      <w:tr>
        <w:trPr>
          <w:trHeight w:val="247" w:hRule="atLeast"/>
        </w:trPr>
        <w:tc>
          <w:tcPr>
            <w:tcW w:w="5710" w:type="dxa"/>
            <w:gridSpan w:val="5"/>
            <w:tcBorders>
              <w:top w:val="single" w:sz="4" w:space="0" w:color="000000"/>
              <w:start w:val="single" w:sz="4" w:space="0" w:color="000000"/>
              <w:bottom w:val="single" w:sz="4" w:space="0" w:color="000000"/>
              <w:end w:val="single" w:sz="4" w:space="0" w:color="000000"/>
            </w:tcBorders>
          </w:tcPr>
          <w:p>
            <w:pPr>
              <w:pStyle w:val="Normal"/>
              <w:jc w:val="center"/>
              <w:rPr>
                <w:b/>
                <w:color w:val="000000"/>
              </w:rPr>
            </w:pPr>
            <w:r>
              <w:rPr>
                <w:b/>
                <w:color w:val="000000"/>
              </w:rPr>
              <w:t>SCE Class-Specific Rate Increases</w:t>
            </w:r>
          </w:p>
          <w:p>
            <w:pPr>
              <w:pStyle w:val="Heading4"/>
              <w:ind w:hanging="0" w:start="0"/>
              <w:rPr/>
            </w:pPr>
            <w:r>
              <w:rPr/>
              <w:t>Using Phased-In Revenue Increases</w:t>
            </w:r>
          </w:p>
          <w:p>
            <w:pPr>
              <w:pStyle w:val="Normal"/>
              <w:jc w:val="center"/>
              <w:rPr>
                <w:color w:val="000000"/>
                <w:sz w:val="20"/>
              </w:rPr>
            </w:pPr>
            <w:r>
              <w:rPr>
                <w:b/>
                <w:color w:val="000000"/>
              </w:rPr>
              <w:t>(5 year Recovery Period)</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Quarter</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Residential</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Commercial</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Industrial</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Total</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0</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12.45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9.75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6.56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10.00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12.64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10.02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6.84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10.25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2</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12.82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10.30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7.12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10.50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13.01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10.58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7.40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10.75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4</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13.19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10.86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7.68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11.00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13.38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11.14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7.96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11.25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13.56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11.42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8.24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11.50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13.75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11.70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8.51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11.75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8-20</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13.86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11.86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8.68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11.89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21</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12.45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9.75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6.56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10.00 </w:t>
            </w:r>
          </w:p>
        </w:tc>
      </w:tr>
    </w:tbl>
    <w:p>
      <w:pPr>
        <w:pStyle w:val="Normal"/>
        <w:rPr/>
      </w:pPr>
      <w:r>
        <w:rPr/>
      </w:r>
    </w:p>
    <w:p>
      <w:pPr>
        <w:pStyle w:val="Normal"/>
        <w:rPr/>
      </w:pPr>
      <w:r>
        <w:rPr/>
        <w:tab/>
        <w:t>Approach 3: Phased Rate Increases</w:t>
      </w:r>
    </w:p>
    <w:p>
      <w:pPr>
        <w:pStyle w:val="Normal"/>
        <w:rPr/>
      </w:pPr>
      <w:r>
        <w:rPr/>
      </w:r>
    </w:p>
    <w:p>
      <w:pPr>
        <w:pStyle w:val="Normal"/>
        <w:rPr/>
      </w:pPr>
      <w:r>
        <w:rPr/>
        <w:t>This approach assumes that all customers (except for exempt residential customers) receive an equal percentage rate increase. This approach has the same average revenue collection, as does the prior approach. Rates for different customer classes are presented in Table 16. The results in Table 16 should be compared to results in Table 13. Note that residential rates are slightly higher in this case but industrial rates are significantly lower.</w:t>
      </w:r>
    </w:p>
    <w:p>
      <w:pPr>
        <w:pStyle w:val="Footer"/>
        <w:keepNext w:val="true"/>
        <w:keepLines/>
        <w:tabs>
          <w:tab w:val="clear" w:pos="4320"/>
          <w:tab w:val="clear" w:pos="8640"/>
        </w:tabs>
        <w:rPr/>
      </w:pPr>
      <w:r>
        <w:rPr/>
      </w:r>
    </w:p>
    <w:p>
      <w:pPr>
        <w:pStyle w:val="Heading2"/>
        <w:keepLines/>
        <w:ind w:hanging="0" w:start="0"/>
        <w:jc w:val="center"/>
        <w:rPr/>
      </w:pPr>
      <w:r>
        <w:rPr/>
        <w:t>Table 16</w:t>
      </w:r>
    </w:p>
    <w:tbl>
      <w:tblPr>
        <w:tblW w:w="5710" w:type="dxa"/>
        <w:jc w:val="center"/>
        <w:tblInd w:w="0" w:type="dxa"/>
        <w:tblLayout w:type="fixed"/>
        <w:tblCellMar>
          <w:top w:w="0" w:type="dxa"/>
          <w:start w:w="30" w:type="dxa"/>
          <w:bottom w:w="0" w:type="dxa"/>
          <w:end w:w="30" w:type="dxa"/>
        </w:tblCellMar>
      </w:tblPr>
      <w:tblGrid>
        <w:gridCol w:w="1262"/>
        <w:gridCol w:w="1263"/>
        <w:gridCol w:w="1135"/>
        <w:gridCol w:w="1025"/>
        <w:gridCol w:w="1025"/>
      </w:tblGrid>
      <w:tr>
        <w:trPr>
          <w:trHeight w:val="247" w:hRule="atLeast"/>
        </w:trPr>
        <w:tc>
          <w:tcPr>
            <w:tcW w:w="5710" w:type="dxa"/>
            <w:gridSpan w:val="5"/>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color w:val="000000"/>
              </w:rPr>
            </w:pPr>
            <w:r>
              <w:rPr>
                <w:b/>
                <w:color w:val="000000"/>
              </w:rPr>
              <w:t>SCE Class-Specific Rate Increases</w:t>
            </w:r>
          </w:p>
          <w:p>
            <w:pPr>
              <w:pStyle w:val="Normal"/>
              <w:keepNext w:val="true"/>
              <w:keepLines/>
              <w:jc w:val="center"/>
              <w:rPr>
                <w:color w:val="000000"/>
                <w:sz w:val="20"/>
              </w:rPr>
            </w:pPr>
            <w:r>
              <w:rPr>
                <w:b/>
                <w:color w:val="000000"/>
              </w:rPr>
              <w:t>Using Phased-In Revenue Increases</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Quarter</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Residential</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Commercial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Industrial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Total</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0</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12.45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9.75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6.56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10.00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12.69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10.02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6.75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10.25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2</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12.93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10.30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6.94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10.50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13.16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10.58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7.13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10.75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4</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13.40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10.86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7.32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11.00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5</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13.64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11.14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7.51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11.25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13.88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11.42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7.69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11.50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14.12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11.70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7.88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11.75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8</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14.35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11.98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8.07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12.00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9</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14.59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12.26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8.26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12.25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14.83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12.54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8.45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12.49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14.83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12.54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8.45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12.49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14.83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12.54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8.45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12.49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14.83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12.54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8.45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12.49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14.83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12.54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8.45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12.49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15</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14.83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12.54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8.45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12.49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16</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14.83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12.54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8.45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12.49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17</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14.83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12.54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8.45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12.49 </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18</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12.45 </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9.75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6.56 </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end"/>
              <w:rPr>
                <w:color w:val="000000"/>
                <w:sz w:val="20"/>
              </w:rPr>
            </w:pPr>
            <w:r>
              <w:rPr>
                <w:color w:val="000000"/>
                <w:sz w:val="20"/>
              </w:rPr>
              <w:t xml:space="preserve">      </w:t>
            </w:r>
            <w:r>
              <w:rPr>
                <w:color w:val="000000"/>
                <w:sz w:val="20"/>
              </w:rPr>
              <w:t xml:space="preserve">10.00 </w:t>
            </w:r>
          </w:p>
        </w:tc>
      </w:tr>
    </w:tbl>
    <w:p>
      <w:pPr>
        <w:pStyle w:val="Footer"/>
        <w:tabs>
          <w:tab w:val="clear" w:pos="4320"/>
          <w:tab w:val="clear" w:pos="8640"/>
        </w:tabs>
        <w:rPr/>
      </w:pPr>
      <w:r>
        <w:rPr/>
        <w:t xml:space="preserve"> </w:t>
      </w:r>
    </w:p>
    <w:p>
      <w:pPr>
        <w:pStyle w:val="Heading2"/>
        <w:ind w:hanging="0" w:start="0"/>
        <w:rPr>
          <w:b w:val="false"/>
        </w:rPr>
      </w:pPr>
      <w:r>
        <w:rPr/>
        <w:t>Limitations to Analysis</w:t>
      </w:r>
    </w:p>
    <w:p>
      <w:pPr>
        <w:pStyle w:val="Normal"/>
        <w:rPr>
          <w:b/>
        </w:rPr>
      </w:pPr>
      <w:r>
        <w:rPr>
          <w:b/>
        </w:rPr>
      </w:r>
    </w:p>
    <w:p>
      <w:pPr>
        <w:pStyle w:val="Normal"/>
        <w:rPr/>
      </w:pPr>
      <w:r>
        <w:rPr/>
        <w:t>The results of this study are based on a number of critical assumptions. These include:</w:t>
      </w:r>
    </w:p>
    <w:p>
      <w:pPr>
        <w:pStyle w:val="Normal"/>
        <w:rPr/>
      </w:pPr>
      <w:r>
        <w:rPr/>
      </w:r>
    </w:p>
    <w:p>
      <w:pPr>
        <w:pStyle w:val="Normal"/>
        <w:numPr>
          <w:ilvl w:val="0"/>
          <w:numId w:val="4"/>
        </w:numPr>
        <w:rPr/>
      </w:pPr>
      <w:r>
        <w:rPr>
          <w:b/>
        </w:rPr>
        <w:t>Amortization of the undercollection amount is the only factor that will change rates.</w:t>
      </w:r>
      <w:r>
        <w:rPr/>
        <w:t xml:space="preserve"> This assessment looked at a single factor in isolation. Clearly, any changes in other components of rates (e.g., commodity costs, rate design) would need to be included in the analysis in order to forecast future rates.</w:t>
      </w:r>
    </w:p>
    <w:p>
      <w:pPr>
        <w:pStyle w:val="Normal"/>
        <w:numPr>
          <w:ilvl w:val="0"/>
          <w:numId w:val="4"/>
        </w:numPr>
        <w:rPr/>
      </w:pPr>
      <w:r>
        <w:rPr>
          <w:b/>
        </w:rPr>
        <w:t>Loads and sales are assumed to equal 1999 values.</w:t>
      </w:r>
      <w:r>
        <w:rPr/>
        <w:t xml:space="preserve"> For simplicity, MRW assumed that loads and sales would remain constant over the forecast period. Clearly, this understates the future sales for PG&amp;E and SCE. The rate impacts presented in this analysis would be lower if load growth were considered. Thus, in this regard, the analysis presents a pessimistic perspective.</w:t>
      </w:r>
    </w:p>
    <w:p>
      <w:pPr>
        <w:pStyle w:val="Normal"/>
        <w:numPr>
          <w:ilvl w:val="0"/>
          <w:numId w:val="4"/>
        </w:numPr>
        <w:rPr/>
      </w:pPr>
      <w:r>
        <w:rPr>
          <w:b/>
        </w:rPr>
        <w:t>Undercollection estimates were assumed to be $5,000 million per utility.</w:t>
      </w:r>
      <w:r>
        <w:rPr/>
        <w:t xml:space="preserve"> The magnitude of the undercollection will clearly have an impact on the rate changes needed to recover these undercollections. MRW would be happy to provide an updated analysis should Enron want to use different assumptions about this variable.</w:t>
      </w:r>
    </w:p>
    <w:p>
      <w:pPr>
        <w:pStyle w:val="Normal"/>
        <w:rPr/>
      </w:pPr>
      <w:r>
        <w:rPr/>
      </w:r>
    </w:p>
    <w:p>
      <w:pPr>
        <w:pStyle w:val="Normal"/>
        <w:rPr/>
      </w:pPr>
      <w:r>
        <w:rPr/>
        <w:t>If you have any questions about this assessment, please feel free to give us a call at (510) 834-1999.</w:t>
      </w:r>
    </w:p>
    <w:sectPr>
      <w:headerReference w:type="default" r:id="rId3"/>
      <w:headerReference w:type="first" r:id="rId4"/>
      <w:footerReference w:type="default" r:id="rId5"/>
      <w:footerReference w:type="first" r:id="rId6"/>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fldChar w:fldCharType="begin"/>
    </w:r>
    <w:r>
      <w:rPr/>
      <w:instrText xml:space="preserve"> DATE \@"MMMM\ d', 'yyyy" </w:instrText>
    </w:r>
    <w:r>
      <w:rPr/>
      <w:fldChar w:fldCharType="separate"/>
    </w:r>
    <w:r>
      <w:rPr/>
      <w:t>September 28, 2025</w:t>
    </w:r>
    <w:r>
      <w:rPr/>
      <w:fldChar w:fldCharType="end"/>
    </w:r>
    <w:r>
      <w:rPr/>
      <w:tab/>
      <w:tab/>
    </w:r>
    <w:r>
      <w:rPr>
        <w:i/>
      </w:rPr>
      <w:t>MRW &amp; Associates, Inc.</w:t>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7165"/>
              <wp:effectExtent l="0" t="0" r="0" b="0"/>
              <wp:wrapSquare wrapText="bothSides"/>
              <wp:docPr id="3"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CONFIDENTIAL MEMORANDUM</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4680" w:leader="none"/>
      </w:tabs>
      <w:jc w:val="center"/>
      <w:outlineLvl w:val="0"/>
    </w:pPr>
    <w:rPr>
      <w:b/>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i/>
    </w:rPr>
  </w:style>
  <w:style w:type="paragraph" w:styleId="Heading4">
    <w:name w:val="heading 4"/>
    <w:basedOn w:val="Normal"/>
    <w:next w:val="Normal"/>
    <w:qFormat/>
    <w:pPr>
      <w:keepNext w:val="true"/>
      <w:numPr>
        <w:ilvl w:val="3"/>
        <w:numId w:val="1"/>
      </w:numPr>
      <w:jc w:val="center"/>
      <w:outlineLvl w:val="3"/>
    </w:pPr>
    <w:rPr>
      <w:b/>
      <w:color w:val="000000"/>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qFormat/>
    <w:rPr>
      <w:color w:val="auto"/>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pPr>
    <w:rPr>
      <w:sz w:val="20"/>
      <w:lang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word - memo with logo.dot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2001-02-26T16:15:00Z</dcterms:created>
  <dc:creator>William A. Monsen</dc:creator>
  <dc:description/>
  <dc:language>en-CA</dc:language>
  <cp:lastModifiedBy>William A. Monsen</cp:lastModifiedBy>
  <cp:lastPrinted>1998-12-17T09:41:00Z</cp:lastPrinted>
  <dcterms:modified xsi:type="dcterms:W3CDTF">2001-02-26T16:22:00Z</dcterms:modified>
  <cp:revision>5</cp:revision>
  <dc:subject/>
  <dc:title> </dc:title>
</cp:coreProperties>
</file>