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ACTION BY UNANIMOUS WRITTEN CONSENT</w:t>
      </w:r>
    </w:p>
    <w:p>
      <w:pPr>
        <w:pStyle w:val="Normal"/>
        <w:jc w:val="center"/>
        <w:rPr>
          <w:b/>
        </w:rPr>
      </w:pPr>
      <w:r>
        <w:rPr>
          <w:b/>
        </w:rPr>
        <w:t>OF THE BOARD OF DIRECTORS</w:t>
      </w:r>
    </w:p>
    <w:p>
      <w:pPr>
        <w:pStyle w:val="Normal"/>
        <w:jc w:val="center"/>
        <w:rPr>
          <w:b/>
        </w:rPr>
      </w:pPr>
      <w:r>
        <w:rPr>
          <w:b/>
        </w:rPr>
        <w:t>OF</w:t>
      </w:r>
    </w:p>
    <w:p>
      <w:pPr>
        <w:pStyle w:val="Normal"/>
        <w:jc w:val="center"/>
        <w:rPr>
          <w:b/>
        </w:rPr>
      </w:pPr>
      <w:r>
        <w:rPr>
          <w:b/>
        </w:rPr>
        <w:t>i2 TECHNOLOGIES, INC.</w:t>
      </w:r>
    </w:p>
    <w:p>
      <w:pPr>
        <w:pStyle w:val="Normal"/>
        <w:spacing w:before="0" w:after="480"/>
        <w:jc w:val="center"/>
        <w:rPr/>
      </w:pPr>
      <w:r>
        <w:rPr/>
        <w:t>(a Delaware corporation)</w:t>
      </w:r>
    </w:p>
    <w:p>
      <w:pPr>
        <w:pStyle w:val="Normal"/>
        <w:tabs>
          <w:tab w:val="clear" w:pos="720"/>
          <w:tab w:val="left" w:pos="-720" w:leader="none"/>
        </w:tabs>
        <w:suppressAutoHyphens w:val="true"/>
        <w:spacing w:lineRule="auto" w:line="480" w:before="0" w:after="240"/>
        <w:ind w:firstLine="1440" w:end="0"/>
        <w:rPr/>
      </w:pPr>
      <w:r>
        <w:rPr>
          <w:spacing w:val="-3"/>
        </w:rPr>
        <w:t>The undersigned, being all of the members of the Board of Directors (the “</w:t>
      </w:r>
      <w:r>
        <w:rPr>
          <w:i/>
          <w:spacing w:val="-3"/>
        </w:rPr>
        <w:t>Board</w:t>
      </w:r>
      <w:r>
        <w:rPr>
          <w:spacing w:val="-3"/>
        </w:rPr>
        <w:t>”) of i2 Technologies, Inc., a Delaware corporation (the “</w:t>
      </w:r>
      <w:r>
        <w:rPr>
          <w:i/>
          <w:spacing w:val="-3"/>
        </w:rPr>
        <w:t>Corporation</w:t>
      </w:r>
      <w:r>
        <w:rPr>
          <w:spacing w:val="-3"/>
        </w:rPr>
        <w:t xml:space="preserve">”), hereby execute this instrument to evidence their consent of the taking of the actions set forth herein, and the adoption of the following resolutions without the holding of a meeting under and in accordance with Section 141(f) of the Delaware General Corporation Law and </w:t>
      </w:r>
      <w:r>
        <w:rPr/>
        <w:t xml:space="preserve">Article III, </w:t>
      </w:r>
      <w:r>
        <w:rPr>
          <w:spacing w:val="-3"/>
        </w:rPr>
        <w:t>Section 3.13 of the Corporation’s Bylaws:</w:t>
      </w:r>
    </w:p>
    <w:p>
      <w:pPr>
        <w:pStyle w:val="Normal"/>
        <w:suppressAutoHyphens w:val="true"/>
        <w:spacing w:before="0" w:after="240"/>
        <w:ind w:start="720" w:end="0"/>
        <w:rPr>
          <w:b/>
        </w:rPr>
      </w:pPr>
      <w:r>
        <w:rPr>
          <w:b/>
          <w:u w:val="single"/>
        </w:rPr>
        <w:t>2-for-1 Stock Split; Amendment to Restated Certificate of Incorporation</w:t>
      </w:r>
    </w:p>
    <w:p>
      <w:pPr>
        <w:pStyle w:val="BodyText"/>
        <w:ind w:firstLine="720" w:start="720" w:end="0"/>
        <w:rPr/>
      </w:pPr>
      <w:r>
        <w:rPr>
          <w:b/>
        </w:rPr>
        <w:t>WHEREAS</w:t>
      </w:r>
      <w:r>
        <w:rPr/>
        <w:t>, the Board of Directors deems it advisable to effect a stock split in the form of a stock dividend of one (1) additional share of the Corporation’s common stock, par value $.00025 per share (the “Common Stock”), for every one (1) share of Common Stock outstanding; and</w:t>
      </w:r>
    </w:p>
    <w:p>
      <w:pPr>
        <w:pStyle w:val="BodyText"/>
        <w:ind w:firstLine="720" w:start="720" w:end="0"/>
        <w:rPr/>
      </w:pPr>
      <w:r>
        <w:rPr>
          <w:b/>
        </w:rPr>
        <w:t>WHEREAS</w:t>
      </w:r>
      <w:r>
        <w:rPr/>
        <w:t>, to facilitate such stock dividend, the Corporation must amend its Restated Certificate of Incorporation to increase the number of authorized shares of Common Stock.</w:t>
      </w:r>
    </w:p>
    <w:p>
      <w:pPr>
        <w:pStyle w:val="ABodyText"/>
        <w:ind w:firstLine="720" w:start="720" w:end="0"/>
        <w:jc w:val="start"/>
        <w:rPr/>
      </w:pPr>
      <w:r>
        <w:rPr>
          <w:b/>
        </w:rPr>
        <w:t>BE IT RESOLVED,</w:t>
      </w:r>
      <w:r>
        <w:rPr/>
        <w:t xml:space="preserve"> that, subject to the requisite approval of the Corporation’s stockholders, the Restated Certificate of Incorporation of the Corporation be amended by amending paragraphs A and B of the Article thereof numbered “FOURTH” so that, as amended, said paragraphs shall read in full as follows:</w:t>
      </w:r>
    </w:p>
    <w:p>
      <w:pPr>
        <w:pStyle w:val="AQuoteText"/>
        <w:ind w:start="1440" w:end="720"/>
        <w:jc w:val="start"/>
        <w:rPr/>
      </w:pPr>
      <w:r>
        <w:rPr/>
        <w:t>“</w:t>
      </w:r>
      <w:r>
        <w:rPr/>
        <w:t>A.</w:t>
        <w:tab/>
        <w:t>The total number of shares which the Corporation shall have authority to issue is TWO BILLION FIVE MILLION (2,005,000,000) shares of capital stock.</w:t>
      </w:r>
    </w:p>
    <w:p>
      <w:pPr>
        <w:pStyle w:val="AQuoteText"/>
        <w:ind w:start="1440" w:end="720"/>
        <w:jc w:val="start"/>
        <w:rPr/>
      </w:pPr>
      <w:r>
        <w:rPr/>
        <w:t>B.</w:t>
        <w:tab/>
        <w:t>Of such authorized shares, TWO BILLION (2,000,000,000) shares shall be designated “Common Stock,” and have a par value of $.00025.”</w:t>
      </w:r>
    </w:p>
    <w:p>
      <w:pPr>
        <w:pStyle w:val="AQuoteText"/>
        <w:ind w:hanging="0" w:end="720"/>
        <w:jc w:val="start"/>
        <w:rPr/>
      </w:pPr>
      <w:r>
        <w:rPr/>
        <w:t>; and further</w:t>
      </w:r>
    </w:p>
    <w:p>
      <w:pPr>
        <w:pStyle w:val="ABodyText"/>
        <w:ind w:firstLine="720" w:start="720" w:end="0"/>
        <w:jc w:val="start"/>
        <w:rPr/>
      </w:pPr>
      <w:r>
        <w:rPr>
          <w:b/>
        </w:rPr>
        <w:t>RESOLVED</w:t>
      </w:r>
      <w:r>
        <w:rPr/>
        <w:t>, that the appropriate officers of the Corporation be, and each of them hereby is, authorized, directed and empowered, for and on behalf of the Corporation, to submit such amendment to the Corporation’s stockholders for approval; and further</w:t>
      </w:r>
    </w:p>
    <w:p>
      <w:pPr>
        <w:pStyle w:val="BodyText"/>
        <w:ind w:firstLine="720" w:start="720" w:end="0"/>
        <w:rPr/>
      </w:pPr>
      <w:r>
        <w:rPr>
          <w:b/>
        </w:rPr>
        <w:t>RESOLVED</w:t>
      </w:r>
      <w:r>
        <w:rPr/>
        <w:t xml:space="preserve">, that, upon the requisite approval of said amendment by the Corporation’s stockholders at a special meeting duly called and held for purposes of approving said amendment, </w:t>
      </w:r>
    </w:p>
    <w:p>
      <w:pPr>
        <w:pStyle w:val="BodyText"/>
        <w:numPr>
          <w:ilvl w:val="0"/>
          <w:numId w:val="5"/>
        </w:numPr>
        <w:tabs>
          <w:tab w:val="clear" w:pos="720"/>
          <w:tab w:val="left" w:pos="1800" w:leader="none"/>
        </w:tabs>
        <w:ind w:hanging="360" w:start="1800" w:end="0"/>
        <w:rPr/>
      </w:pPr>
      <w:r>
        <w:rPr/>
        <w:t>the appropriate officers of the Corporation be, and each of them hereby is, authorized, directed and empowered, for and on behalf of the Corporation, to take such actions and to execute such documents, as they may deem necessary, appropriate or advisable to effect such amendment, including the filing of a Certificate of Amendment to the Restated Certificate of Incorporation with the Secretary of State of the State of Delaware; and</w:t>
      </w:r>
    </w:p>
    <w:p>
      <w:pPr>
        <w:pStyle w:val="BodyText"/>
        <w:numPr>
          <w:ilvl w:val="0"/>
          <w:numId w:val="5"/>
        </w:numPr>
        <w:tabs>
          <w:tab w:val="clear" w:pos="720"/>
          <w:tab w:val="left" w:pos="1800" w:leader="none"/>
        </w:tabs>
        <w:ind w:hanging="360" w:start="1800" w:end="0"/>
        <w:rPr/>
      </w:pPr>
      <w:r>
        <w:rPr/>
        <w:t>a stock dividend of one (1) additional share of Common Stock for every one (1) share of Common Stock outstanding as of the close of business on the date of said special meeting, the record date for such stock dividend, be paid on the fifth (5th) business day after the date of said meeting;</w:t>
      </w:r>
    </w:p>
    <w:p>
      <w:pPr>
        <w:pStyle w:val="BodyText"/>
        <w:ind w:hanging="720" w:start="1440" w:end="0"/>
        <w:rPr/>
      </w:pPr>
      <w:r>
        <w:rPr/>
        <w:t>and further</w:t>
      </w:r>
    </w:p>
    <w:p>
      <w:pPr>
        <w:pStyle w:val="BodyText"/>
        <w:ind w:firstLine="720" w:start="720" w:end="0"/>
        <w:rPr/>
      </w:pPr>
      <w:r>
        <w:rPr>
          <w:b/>
        </w:rPr>
        <w:t>RESOLVED,</w:t>
      </w:r>
      <w:r>
        <w:rPr/>
        <w:t xml:space="preserve"> that the preparation and filing of an application to include the shares of Common Stock issuable pursuant to the stock dividend on the Nasdaq National Market is hereby approved and ratified, and that any officer of the Corporation is hereby authorized and directed to represent the Corporation in appearing before the officials of the Nasdaq National Market, to modify or change the application (if necessary), to execute and deliver any and all documents and instruments and to take such other steps (including payment of fees) as may be necessary to effect inclusion of such Common Stock on the Nasdaq National Market; and further</w:t>
      </w:r>
    </w:p>
    <w:p>
      <w:pPr>
        <w:pStyle w:val="BodyText"/>
        <w:ind w:firstLine="720" w:start="720" w:end="0"/>
        <w:rPr/>
      </w:pPr>
      <w:r>
        <w:rPr>
          <w:b/>
        </w:rPr>
        <w:t>RESOLVED</w:t>
      </w:r>
      <w:r>
        <w:rPr/>
        <w:t>, upon payment of such stock dividend, that the Corporation designate as capital in respect of such additional shares an amount of $.00025 per share; and further</w:t>
      </w:r>
    </w:p>
    <w:p>
      <w:pPr>
        <w:pStyle w:val="BodyText"/>
        <w:ind w:firstLine="720" w:start="720" w:end="0"/>
        <w:rPr/>
      </w:pPr>
      <w:r>
        <w:rPr>
          <w:b/>
        </w:rPr>
        <w:t>RESOLVED</w:t>
      </w:r>
      <w:r>
        <w:rPr/>
        <w:t>, that the officers of the Corporation be, and each of them hereby is, authorized and directed, for and on behalf of the Corporation, to take all such action and to execute all such documents as such officers may deem necessary or appropriate for the consummation of such stock dividend.</w:t>
      </w:r>
    </w:p>
    <w:p>
      <w:pPr>
        <w:pStyle w:val="Normal"/>
        <w:ind w:start="720" w:end="0"/>
        <w:rPr>
          <w:b/>
          <w:u w:val="single"/>
        </w:rPr>
      </w:pPr>
      <w:r>
        <w:rPr>
          <w:b/>
          <w:u w:val="single"/>
        </w:rPr>
        <w:t>Special Stockholder Meeting; Special Committee to Determine Meeting Location and Record Date</w:t>
      </w:r>
    </w:p>
    <w:p>
      <w:pPr>
        <w:pStyle w:val="BodyText"/>
        <w:spacing w:before="240" w:after="240"/>
        <w:ind w:firstLine="720" w:start="720" w:end="0"/>
        <w:rPr/>
      </w:pPr>
      <w:r>
        <w:rPr>
          <w:b/>
        </w:rPr>
        <w:t>BE IT RESOLVED</w:t>
      </w:r>
      <w:r>
        <w:rPr/>
        <w:t>, that a special meeting of the stockholders of the Corporation entitled to vote on the proposed amendment of the Corporation’s Restated Certificate of Incorporation be called, and that Sanjiv Sidhu be, and he hereby is, appointed as a committee of one of the Board of Directors, with the authority to fix the time and place of such meeting and the record date for the determination of stockholders entitled to vote at such special meeting; and further</w:t>
      </w:r>
    </w:p>
    <w:p>
      <w:pPr>
        <w:pStyle w:val="BodyText"/>
        <w:ind w:firstLine="720" w:start="720" w:end="0"/>
        <w:rPr/>
      </w:pPr>
      <w:r>
        <w:rPr>
          <w:b/>
        </w:rPr>
        <w:t>RESOLVED</w:t>
      </w:r>
      <w:r>
        <w:rPr/>
        <w:t>, that the Board of Directors hereby recommends that the holders of Common Stock approve the proposed amendment to the Restated Certificate of Incorporation to increase the number of authorized shares of Common Stock.</w:t>
      </w:r>
    </w:p>
    <w:p>
      <w:pPr>
        <w:pStyle w:val="Normal"/>
        <w:ind w:firstLine="720" w:end="0"/>
        <w:rPr>
          <w:b/>
          <w:u w:val="single"/>
        </w:rPr>
      </w:pPr>
      <w:r>
        <w:rPr>
          <w:b/>
          <w:u w:val="single"/>
        </w:rPr>
        <w:t>Notice of Meeting, Proxy Statement and Proxy</w:t>
      </w:r>
    </w:p>
    <w:p>
      <w:pPr>
        <w:pStyle w:val="BodyText"/>
        <w:spacing w:before="240" w:after="240"/>
        <w:ind w:firstLine="720" w:start="720" w:end="0"/>
        <w:rPr/>
      </w:pPr>
      <w:r>
        <w:rPr>
          <w:b/>
        </w:rPr>
        <w:t>BE IT RESOLVED</w:t>
      </w:r>
      <w:r>
        <w:rPr/>
        <w:t>, that the Secretary or any other officer of the Corporation be, and the same hereby are, authorized, empowered and directed, for and on behalf of the Corporation, to prepare or cause to be prepared a Notice of Special Meeting of Stockholders of the Corporation to be sent to the stockholders of the Corporation entitled to such notice at least ten (10) days prior to the date of the special meeting, pursuant to the Bylaws of the Corporation and the foregoing resolutions; and further</w:t>
      </w:r>
    </w:p>
    <w:p>
      <w:pPr>
        <w:pStyle w:val="BodyText"/>
        <w:ind w:firstLine="720" w:start="720" w:end="0"/>
        <w:rPr/>
      </w:pPr>
      <w:r>
        <w:rPr>
          <w:b/>
        </w:rPr>
        <w:t>RESOLVED</w:t>
      </w:r>
      <w:r>
        <w:rPr/>
        <w:t>, that the appropriate officers of the Corporation be, and they hereby are, authorized, empowered and directed, for and on behalf of this Board of Directors, to solicit proxies from the stockholders of the Corporation to be voted at the special meeting and that Sanjiv S. Sidhu and William M. Beecher, or either of them, be and the same hereby are appointed to serve, for and on behalf of the Corporation, as attorneys and agents, with full power of substitution, to vote all proxies solicited by this Board of Directors in connection with the special meeting; and further</w:t>
      </w:r>
    </w:p>
    <w:p>
      <w:pPr>
        <w:pStyle w:val="BodyText"/>
        <w:ind w:firstLine="720" w:start="720" w:end="0"/>
        <w:rPr/>
      </w:pPr>
      <w:r>
        <w:rPr>
          <w:b/>
        </w:rPr>
        <w:t>RESOLVED</w:t>
      </w:r>
      <w:r>
        <w:rPr/>
        <w:t>, that the officers of the Corporation be, and each of them hereby is, authorized and directed to prepare a proxy statement and form of proxy consistent with the foregoing resolutions for use in connection with the special meeting, and to file such proxy statement and related materials with the Securities and Exchange Commission; and further</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BodyText"/>
        <w:ind w:firstLine="720" w:start="720" w:end="0"/>
        <w:rPr/>
      </w:pPr>
      <w:r>
        <w:rPr>
          <w:b/>
        </w:rPr>
        <w:t>RESOLVED</w:t>
      </w:r>
      <w:r>
        <w:rPr/>
        <w:t>, that such proxy statement and form of proxy shall reflect that this Board of Directors recommends approval by the stockholders of the Corporation of the foregoing matters and shall be submitted to the stockholders of the Corporation for the purposes of soliciting their approval of such matters.</w:t>
      </w:r>
    </w:p>
    <w:p>
      <w:pPr>
        <w:pStyle w:val="BodyTextIndent"/>
        <w:ind w:start="0" w:end="0"/>
        <w:rPr/>
      </w:pPr>
      <w:r>
        <w:rPr>
          <w:b/>
          <w:spacing w:val="-3"/>
        </w:rPr>
        <w:t>IN WITNESS WHEREOF,</w:t>
      </w:r>
      <w:r>
        <w:rPr>
          <w:spacing w:val="-3"/>
        </w:rPr>
        <w:t xml:space="preserve"> the undersigned have executed this Action By Unanimous Written Consent as of the ____ day of October, 2000.</w:t>
      </w:r>
    </w:p>
    <w:tbl>
      <w:tblPr>
        <w:tblW w:w="4788" w:type="dxa"/>
        <w:jc w:val="start"/>
        <w:tblInd w:w="4788" w:type="dxa"/>
        <w:tblLayout w:type="fixed"/>
        <w:tblCellMar>
          <w:top w:w="0" w:type="dxa"/>
          <w:start w:w="108" w:type="dxa"/>
          <w:bottom w:w="0" w:type="dxa"/>
          <w:end w:w="108" w:type="dxa"/>
        </w:tblCellMar>
      </w:tblPr>
      <w:tblGrid>
        <w:gridCol w:w="4788"/>
      </w:tblGrid>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Harvey B. Cash</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Thomas J. Meredith</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Sanjiv S. Sidhu</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spacing w:val="-3"/>
              </w:rPr>
              <w:t>Sandeep R. Tungare</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spacing w:val="-3"/>
              </w:rPr>
            </w:pPr>
            <w:r>
              <w:rPr/>
              <w:t xml:space="preserve">Romesh T. Wadhwani </w:t>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snapToGrid w:val="false"/>
              <w:jc w:val="both"/>
              <w:rPr>
                <w:spacing w:val="-3"/>
              </w:rPr>
            </w:pPr>
            <w:r>
              <w:rPr>
                <w:spacing w:val="-3"/>
              </w:rPr>
            </w:r>
          </w:p>
        </w:tc>
      </w:tr>
      <w:tr>
        <w:trPr/>
        <w:tc>
          <w:tcPr>
            <w:tcW w:w="4788" w:type="dxa"/>
            <w:tcBorders/>
          </w:tcPr>
          <w:p>
            <w:pPr>
              <w:pStyle w:val="Normal"/>
              <w:tabs>
                <w:tab w:val="clear" w:pos="720"/>
                <w:tab w:val="left" w:pos="-720" w:leader="none"/>
              </w:tabs>
              <w:suppressAutoHyphens w:val="true"/>
              <w:jc w:val="both"/>
              <w:rPr>
                <w:spacing w:val="-3"/>
                <w:u w:val="single"/>
              </w:rPr>
            </w:pPr>
            <w:r>
              <w:rPr>
                <w:spacing w:val="-3"/>
                <w:u w:val="single"/>
              </w:rPr>
              <w:tab/>
              <w:tab/>
              <w:tab/>
              <w:tab/>
              <w:tab/>
            </w:r>
          </w:p>
        </w:tc>
      </w:tr>
      <w:tr>
        <w:trPr/>
        <w:tc>
          <w:tcPr>
            <w:tcW w:w="4788" w:type="dxa"/>
            <w:tcBorders/>
          </w:tcPr>
          <w:p>
            <w:pPr>
              <w:pStyle w:val="Normal"/>
              <w:tabs>
                <w:tab w:val="clear" w:pos="720"/>
                <w:tab w:val="left" w:pos="-720" w:leader="none"/>
              </w:tabs>
              <w:suppressAutoHyphens w:val="true"/>
              <w:jc w:val="both"/>
              <w:rPr/>
            </w:pPr>
            <w:r>
              <w:rPr/>
              <w:t>Kenneth L. Lay</w:t>
            </w:r>
          </w:p>
        </w:tc>
      </w:tr>
    </w:tbl>
    <w:p>
      <w:pPr>
        <w:pStyle w:val="BodyText"/>
        <w:spacing w:before="0" w:after="240"/>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AUSLIB1\MTG\100106.02(258Q02!.DOC)</w:t>
    </w:r>
    <w:r>
      <w:rPr>
        <w:smallCaps/>
        <w:sz w:val="12"/>
      </w:rPr>
      <w:fldChar w:fldCharType="end"/>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smallCaps/>
      </w:rPr>
    </w:pPr>
    <w:r>
      <w:rPr>
        <w:smallCaps/>
      </w:rPr>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AUSLIB1\MTG\100106.02(258Q02!.DOC)</w:t>
    </w:r>
    <w:r>
      <w:rPr>
        <w:smallCaps/>
        <w:sz w:val="12"/>
      </w:rPr>
      <w:fldChar w:fldCharType="end"/>
    </w:r>
  </w:p>
  <w:p>
    <w:pPr>
      <w:pStyle w:val="Footer"/>
      <w:tabs>
        <w:tab w:val="clear" w:pos="4320"/>
        <w:tab w:val="clear" w:pos="8640"/>
      </w:tabs>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r>
    <w:r>
      <w:rPr>
        <w:smallCaps/>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0026388.01"/>
    <w:docVar w:name="DOCX97_10" w:val="6/24/98 1:39:38 PM"/>
    <w:docVar w:name="DOCX97_11" w:val="2313"/>
    <w:docVar w:name="DOCX97_2" w:val="f:\auslib1\phil\0026388.01"/>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g:\auslib1\phil\0026388.01"/>
    <w:docVar w:name="DOCX97_40" w:val="YesBackTabs"/>
    <w:docVar w:name="DOCX97_42" w:val="0Footnotes"/>
    <w:docVar w:name="DOCX97_43" w:val="0Endnotes"/>
    <w:docVar w:name="DOCX97_45" w:val="1"/>
    <w:docVar w:name="DOCX97_46" w:val="1"/>
    <w:docVar w:name="DOCX97_47" w:val="1"/>
    <w:docVar w:name="DOCX97_48" w:val="1"/>
    <w:docVar w:name="DOCX97_49" w:val="11"/>
    <w:docVar w:name="DOCX97_5" w:val=" 78559"/>
    <w:docVar w:name="DOCX97_50" w:val="CG Times"/>
    <w:docVar w:name="DOCX97_51" w:val="NoDocType"/>
    <w:docVar w:name="DOCX97_52" w:val="Document"/>
    <w:docVar w:name="DOCX97_53" w:val="NoBoxes"/>
    <w:docVar w:name="DOCX97_54" w:val="YesLeading"/>
    <w:docVar w:name="DOCX97_55" w:val="12"/>
    <w:docVar w:name="DOCX97_58" w:val="GoodLabelDoc"/>
    <w:docVar w:name="DOCX97_59" w:val="8.5"/>
    <w:docVar w:name="DOCX97_6" w:val="31,744"/>
    <w:docVar w:name="DOCX97_60" w:val="YesAdvance"/>
    <w:docVar w:name="DOCX97_61" w:val="NoSpacers"/>
    <w:docVar w:name="DOCX97_62" w:val="YesPrivate"/>
    <w:docVar w:name="DOCX97_65" w:val="GoodChars"/>
    <w:docVar w:name="DOCX97_66" w:val="GoodQuotes"/>
    <w:docVar w:name="DOCX97_69" w:val="NoInternational"/>
    <w:docVar w:name="DOCX97_7" w:val="7/30/98 6:51:26 PM"/>
    <w:docVar w:name="DOCX97_8" w:val="7/30/98 6:52:07 PM"/>
    <w:docVar w:name="DOCX97_89" w:val="WordMacrosDone"/>
    <w:docVar w:name="DOCX97_90" w:val="DocX97WPDone"/>
    <w:docVar w:name="DOCX97_91" w:val="BrobeckP"/>
    <w:docVar w:name="DOCX97_92" w:val="7/30/98"/>
    <w:docVar w:name="DOCX97_93" w:val="6:52:14 PM"/>
    <w:docVar w:name="DOCX97_95" w:val="0026388"/>
    <w:docVar w:name="DOCX97_96" w:val="01"/>
    <w:docVar w:name="DocXParaNum" w:val="DocXParaNu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3z0">
    <w:name w:val="WW8Num3z0"/>
    <w:qFormat/>
    <w:rPr>
      <w:color w:val="000000"/>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style>
  <w:style w:type="character" w:styleId="PageNumber">
    <w:name w:val="page number"/>
    <w:basedOn w:val="DefaultParagraphFon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alutation">
    <w:name w:val="Salutation"/>
    <w:basedOn w:val="Normal"/>
    <w:next w:val="BodyText"/>
    <w:qFormat/>
    <w:pPr>
      <w:spacing w:before="0" w:after="240"/>
    </w:pPr>
    <w:rPr/>
  </w:style>
  <w:style w:type="paragraph" w:styleId="Address">
    <w:name w:val="Address"/>
    <w:basedOn w:val="Salutation"/>
    <w:qFormat/>
    <w:pPr/>
    <w:rPr/>
  </w:style>
  <w:style w:type="paragraph" w:styleId="bcc">
    <w:name w:val="bcc"/>
    <w:basedOn w:val="Normal"/>
    <w:qFormat/>
    <w:pPr>
      <w:pageBreakBefore/>
    </w:pPr>
    <w:rPr>
      <w:sz w:val="24"/>
    </w:rPr>
  </w:style>
  <w:style w:type="paragraph" w:styleId="BodyNumHang">
    <w:name w:val="BodyNumHang"/>
    <w:basedOn w:val="BodyText"/>
    <w:qFormat/>
    <w:pPr>
      <w:widowControl w:val="false"/>
      <w:numPr>
        <w:ilvl w:val="0"/>
        <w:numId w:val="6"/>
      </w:numPr>
      <w:tabs>
        <w:tab w:val="left" w:pos="720" w:leader="none"/>
      </w:tabs>
      <w:ind w:hanging="720" w:start="2160" w:end="0"/>
    </w:pPr>
    <w:rPr/>
  </w:style>
  <w:style w:type="paragraph" w:styleId="BodyLettersHang">
    <w:name w:val="BodyLettersHang"/>
    <w:basedOn w:val="BodyNumHang"/>
    <w:qFormat/>
    <w:pPr>
      <w:numPr>
        <w:ilvl w:val="0"/>
        <w:numId w:val="3"/>
      </w:numPr>
      <w:ind w:hanging="720" w:start="2160" w:end="0"/>
    </w:pPr>
    <w:rPr/>
  </w:style>
  <w:style w:type="paragraph" w:styleId="BodyLettersInd">
    <w:name w:val="BodyLettersInd"/>
    <w:basedOn w:val="Normal"/>
    <w:qFormat/>
    <w:pPr>
      <w:widowControl w:val="false"/>
      <w:numPr>
        <w:ilvl w:val="0"/>
        <w:numId w:val="2"/>
      </w:numPr>
      <w:spacing w:before="0" w:after="240"/>
      <w:ind w:firstLine="1440" w:start="0" w:end="0"/>
    </w:pPr>
    <w:rPr/>
  </w:style>
  <w:style w:type="paragraph" w:styleId="BodyNumInd">
    <w:name w:val="BodyNumInd"/>
    <w:basedOn w:val="BodyText"/>
    <w:qFormat/>
    <w:pPr>
      <w:widowControl w:val="false"/>
      <w:numPr>
        <w:ilvl w:val="0"/>
        <w:numId w:val="4"/>
      </w:numPr>
      <w:tabs>
        <w:tab w:val="left" w:pos="720" w:leader="none"/>
      </w:tabs>
      <w:ind w:firstLine="1440" w:start="0" w:end="0"/>
    </w:pPr>
    <w:rPr/>
  </w:style>
  <w:style w:type="paragraph" w:styleId="BodyTextInd">
    <w:name w:val="BodyTextInd"/>
    <w:basedOn w:val="BodyText"/>
    <w:qFormat/>
    <w:pPr>
      <w:ind w:hanging="0" w:start="1440" w:end="0"/>
    </w:pPr>
    <w:rPr/>
  </w:style>
  <w:style w:type="paragraph" w:styleId="BodyTextNoInd">
    <w:name w:val="BodyTextNoInd"/>
    <w:basedOn w:val="Normal"/>
    <w:qFormat/>
    <w:pPr>
      <w:spacing w:before="0" w:after="240"/>
    </w:pPr>
    <w:rPr/>
  </w:style>
  <w:style w:type="paragraph" w:styleId="CenteredHeading">
    <w:name w:val="Centered Heading"/>
    <w:basedOn w:val="Normal"/>
    <w:next w:val="BodyText"/>
    <w:qFormat/>
    <w:pPr>
      <w:widowControl w:val="false"/>
      <w:spacing w:before="0" w:after="240"/>
      <w:jc w:val="center"/>
    </w:pPr>
    <w:rPr/>
  </w:style>
  <w:style w:type="paragraph" w:styleId="Closing">
    <w:name w:val="Closing"/>
    <w:basedOn w:val="Normal"/>
    <w:qFormat/>
    <w:pPr>
      <w:spacing w:before="0" w:after="240"/>
      <w:ind w:hanging="0" w:start="4680" w:end="0"/>
    </w:pPr>
    <w:rPr/>
  </w:style>
  <w:style w:type="paragraph" w:styleId="Signature">
    <w:name w:val="Signature"/>
    <w:basedOn w:val="Normal"/>
    <w:pPr>
      <w:keepNext w:val="true"/>
      <w:keepLines/>
      <w:ind w:hanging="0" w:start="4680" w:end="0"/>
    </w:pPr>
    <w:rPr/>
  </w:style>
  <w:style w:type="paragraph" w:styleId="ClosingFirmName">
    <w:name w:val="ClosingFirmName"/>
    <w:basedOn w:val="Signature"/>
    <w:qFormat/>
    <w:pPr>
      <w:spacing w:before="0" w:after="960"/>
    </w:pPr>
    <w:rPr/>
  </w:style>
  <w:style w:type="paragraph" w:styleId="Date">
    <w:name w:val="Date"/>
    <w:basedOn w:val="Normal"/>
    <w:next w:val="Normal"/>
    <w:qFormat/>
    <w:pPr>
      <w:spacing w:before="0" w:after="480"/>
      <w:jc w:val="center"/>
    </w:pPr>
    <w:rPr>
      <w:sz w:val="24"/>
    </w:rPr>
  </w:style>
  <w:style w:type="paragraph" w:styleId="Discovery">
    <w:name w:val="Discovery"/>
    <w:basedOn w:val="Normal"/>
    <w:next w:val="BodyText"/>
    <w:qFormat/>
    <w:pPr>
      <w:widowControl w:val="false"/>
      <w:spacing w:lineRule="exact" w:line="480"/>
    </w:pPr>
    <w:rPr>
      <w:b/>
      <w:caps/>
    </w:rPr>
  </w:style>
  <w:style w:type="paragraph" w:styleId="DocX97Comment">
    <w:name w:val="DocX97Comment"/>
    <w:basedOn w:val="Normal"/>
    <w:qFormat/>
    <w:pPr/>
    <w:rPr>
      <w:b/>
      <w:i/>
      <w:color w:val="FF0000"/>
      <w:sz w:val="16"/>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tabs>
        <w:tab w:val="clear" w:pos="720"/>
        <w:tab w:val="left" w:pos="1080" w:leader="none"/>
      </w:tabs>
      <w:ind w:firstLine="720" w:start="0" w:end="0"/>
    </w:pPr>
    <w:rPr>
      <w:sz w:val="20"/>
    </w:rPr>
  </w:style>
  <w:style w:type="paragraph" w:styleId="Header">
    <w:name w:val="header"/>
    <w:basedOn w:val="Normal"/>
    <w:pPr>
      <w:tabs>
        <w:tab w:val="clear" w:pos="720"/>
        <w:tab w:val="center" w:pos="4320" w:leader="none"/>
        <w:tab w:val="right" w:pos="8640" w:leader="none"/>
      </w:tabs>
    </w:pPr>
    <w:rPr/>
  </w:style>
  <w:style w:type="paragraph" w:styleId="LeftHeading">
    <w:name w:val="Left Heading"/>
    <w:basedOn w:val="BodyText"/>
    <w:next w:val="BodyText"/>
    <w:qFormat/>
    <w:pPr>
      <w:widowControl w:val="false"/>
      <w:ind w:hanging="0" w:start="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NormalIndent">
    <w:name w:val="Normal Indent"/>
    <w:basedOn w:val="Normal"/>
    <w:qFormat/>
    <w:pPr>
      <w:ind w:hanging="0" w:start="720" w:end="0"/>
    </w:pPr>
    <w:rPr/>
  </w:style>
  <w:style w:type="paragraph" w:styleId="QuoteS">
    <w:name w:val="QuoteS"/>
    <w:basedOn w:val="Normal"/>
    <w:next w:val="BodyText"/>
    <w:qFormat/>
    <w:pPr>
      <w:widowControl w:val="false"/>
      <w:spacing w:before="0" w:after="240"/>
      <w:ind w:hanging="0" w:start="1440" w:end="1440"/>
    </w:pPr>
    <w:rPr/>
  </w:style>
  <w:style w:type="paragraph" w:styleId="QuoteD">
    <w:name w:val="QuoteD"/>
    <w:basedOn w:val="QuoteS"/>
    <w:qFormat/>
    <w:pPr>
      <w:spacing w:lineRule="auto" w:line="480" w:before="0" w:after="0"/>
    </w:pPr>
    <w:rPr/>
  </w:style>
  <w:style w:type="paragraph" w:styleId="Regarding">
    <w:name w:val="Regarding"/>
    <w:basedOn w:val="Normal"/>
    <w:next w:val="Salutation"/>
    <w:qFormat/>
    <w:pPr>
      <w:spacing w:before="240" w:after="240"/>
      <w:ind w:hanging="720" w:start="2160" w:end="0"/>
    </w:pPr>
    <w:rPr/>
  </w:style>
  <w:style w:type="paragraph" w:styleId="RightHeading">
    <w:name w:val="Right Heading"/>
    <w:basedOn w:val="LeftHeading"/>
    <w:next w:val="BodyText"/>
    <w:qFormat/>
    <w:pPr>
      <w:jc w:val="end"/>
    </w:pPr>
    <w:rPr/>
  </w:style>
  <w:style w:type="paragraph" w:styleId="SignatureName">
    <w:name w:val="SignatureName"/>
    <w:basedOn w:val="Signature"/>
    <w:qFormat/>
    <w:pPr>
      <w:spacing w:before="0" w:after="240"/>
      <w:ind w:hanging="0" w:start="5040" w:end="0"/>
    </w:pPr>
    <w:rPr/>
  </w:style>
  <w:style w:type="paragraph" w:styleId="TOC1">
    <w:name w:val="toc 1"/>
    <w:basedOn w:val="Normal"/>
    <w:next w:val="Normal"/>
    <w:pPr>
      <w:ind w:hanging="0" w:start="0" w:end="720"/>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880" w:end="720"/>
    </w:pPr>
    <w:rPr/>
  </w:style>
  <w:style w:type="paragraph" w:styleId="TOC6">
    <w:name w:val="toc 6"/>
    <w:basedOn w:val="Normal"/>
    <w:next w:val="Normal"/>
    <w:pPr>
      <w:ind w:hanging="0" w:start="3600" w:end="720"/>
    </w:pPr>
    <w:rPr/>
  </w:style>
  <w:style w:type="paragraph" w:styleId="TOC7">
    <w:name w:val="toc 7"/>
    <w:basedOn w:val="Normal"/>
    <w:next w:val="Normal"/>
    <w:pPr>
      <w:ind w:hanging="0" w:start="4320" w:end="720"/>
    </w:pPr>
    <w:rPr/>
  </w:style>
  <w:style w:type="paragraph" w:styleId="TOC8">
    <w:name w:val="toc 8"/>
    <w:basedOn w:val="Normal"/>
    <w:next w:val="Normal"/>
    <w:pPr>
      <w:ind w:hanging="0" w:start="5040" w:end="720"/>
    </w:pPr>
    <w:rPr/>
  </w:style>
  <w:style w:type="paragraph" w:styleId="TOC9">
    <w:name w:val="toc 9"/>
    <w:basedOn w:val="Normal"/>
    <w:next w:val="Normal"/>
    <w:pPr>
      <w:ind w:hanging="0" w:start="1920" w:end="0"/>
    </w:pPr>
    <w:rPr/>
  </w:style>
  <w:style w:type="paragraph" w:styleId="WPComment">
    <w:name w:val="WPComment"/>
    <w:basedOn w:val="BodyText"/>
    <w:qFormat/>
    <w:pPr>
      <w:ind w:hanging="0" w:start="0" w:end="0"/>
    </w:pPr>
    <w:rPr>
      <w:vanish/>
      <w:color w:val="FF0000"/>
    </w:rPr>
  </w:style>
  <w:style w:type="paragraph" w:styleId="DateCentered">
    <w:name w:val="DateCentered"/>
    <w:basedOn w:val="Normal"/>
    <w:qFormat/>
    <w:pPr>
      <w:spacing w:lineRule="auto" w:line="480" w:before="0" w:after="240"/>
      <w:jc w:val="center"/>
    </w:pPr>
    <w:rPr/>
  </w:style>
  <w:style w:type="paragraph" w:styleId="InsideAddress">
    <w:name w:val="InsideAddress"/>
    <w:basedOn w:val="Normal"/>
    <w:next w:val="Normal"/>
    <w:qFormat/>
    <w:pPr/>
    <w:rPr/>
  </w:style>
  <w:style w:type="paragraph" w:styleId="ViaLine">
    <w:name w:val="ViaLine"/>
    <w:basedOn w:val="Normal"/>
    <w:qFormat/>
    <w:pPr>
      <w:tabs>
        <w:tab w:val="clear" w:pos="720"/>
        <w:tab w:val="right" w:pos="9360" w:leader="none"/>
      </w:tabs>
      <w:spacing w:before="0" w:after="240"/>
    </w:pPr>
    <w:rPr>
      <w:b/>
      <w:u w:val="single"/>
    </w:rPr>
  </w:style>
  <w:style w:type="paragraph" w:styleId="Aanchorsectionbreak">
    <w:name w:val="A anchor section break"/>
    <w:qFormat/>
    <w:pPr>
      <w:widowControl/>
      <w:bidi w:val="0"/>
    </w:pPr>
    <w:rPr>
      <w:rFonts w:ascii="Times New Roman" w:hAnsi="Times New Roman" w:eastAsia="Times New Roman" w:cs="Times New Roman"/>
      <w:color w:val="auto"/>
      <w:sz w:val="20"/>
      <w:szCs w:val="20"/>
      <w:lang w:val="en-US" w:eastAsia="en-CA" w:bidi="ar-SA"/>
    </w:rPr>
  </w:style>
  <w:style w:type="paragraph" w:styleId="ABodyText">
    <w:name w:val="A Body Text"/>
    <w:basedOn w:val="Normal"/>
    <w:qFormat/>
    <w:pPr>
      <w:spacing w:before="0" w:after="240"/>
      <w:ind w:firstLine="1440" w:start="0" w:end="0"/>
      <w:jc w:val="both"/>
    </w:pPr>
    <w:rPr/>
  </w:style>
  <w:style w:type="paragraph" w:styleId="AQuoteText">
    <w:name w:val="A Quote Text"/>
    <w:basedOn w:val="Normal"/>
    <w:qFormat/>
    <w:pPr>
      <w:spacing w:before="0" w:after="240"/>
      <w:ind w:firstLine="720" w:start="720" w:end="720"/>
      <w:jc w:val="both"/>
    </w:pPr>
    <w:rPr/>
  </w:style>
  <w:style w:type="paragraph" w:styleId="BodyTextIndent">
    <w:name w:val="Body Text Indent"/>
    <w:basedOn w:val="BodyText"/>
    <w:pPr>
      <w:ind w:firstLine="144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2000-10-13T19:34:00Z</dcterms:created>
  <dc:creator>MTG</dc:creator>
  <dc:description/>
  <dc:language>en-CA</dc:language>
  <cp:lastModifiedBy>Keith Larney</cp:lastModifiedBy>
  <cp:lastPrinted>2000-10-13T17:06:00Z</cp:lastPrinted>
  <dcterms:modified xsi:type="dcterms:W3CDTF">2000-10-13T19:39:00Z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property>
  <property fmtid="{D5CDD505-2E9C-101B-9397-08002B2CF9AE}" pid="3" name="Caption Bank Document">
    <vt:lpwstr/>
  </property>
  <property fmtid="{D5CDD505-2E9C-101B-9397-08002B2CF9AE}" pid="4" name="Cause No.">
    <vt:lpwstr/>
  </property>
  <property fmtid="{D5CDD505-2E9C-101B-9397-08002B2CF9AE}" pid="5" name="Client Name">
    <vt:lpwstr>I2 TECHNOLOGIES, INC.</vt:lpwstr>
  </property>
  <property fmtid="{D5CDD505-2E9C-101B-9397-08002B2CF9AE}" pid="6" name="Client No.">
    <vt:lpwstr>023547</vt:lpwstr>
  </property>
  <property fmtid="{D5CDD505-2E9C-101B-9397-08002B2CF9AE}" pid="7" name="Date">
    <vt:lpwstr/>
  </property>
  <property fmtid="{D5CDD505-2E9C-101B-9397-08002B2CF9AE}" pid="8" name="Doc Name">
    <vt:lpwstr/>
  </property>
  <property fmtid="{D5CDD505-2E9C-101B-9397-08002B2CF9AE}" pid="9" name="Doc No.">
    <vt:lpwstr>AUSLIB1\MTG\100106.02(258Q02!.DOC)</vt:lpwstr>
  </property>
  <property fmtid="{D5CDD505-2E9C-101B-9397-08002B2CF9AE}" pid="10" name="Doc Path">
    <vt:lpwstr/>
  </property>
  <property fmtid="{D5CDD505-2E9C-101B-9397-08002B2CF9AE}" pid="11" name="Document Type">
    <vt:lpwstr/>
  </property>
  <property fmtid="{D5CDD505-2E9C-101B-9397-08002B2CF9AE}" pid="12" name="DocumentType">
    <vt:lpwstr>   </vt:lpwstr>
  </property>
  <property fmtid="{D5CDD505-2E9C-101B-9397-08002B2CF9AE}" pid="13" name="FooterStore">
    <vt:lpwstr/>
  </property>
  <property fmtid="{D5CDD505-2E9C-101B-9397-08002B2CF9AE}" pid="14" name="Local Office">
    <vt:lpwstr/>
  </property>
  <property fmtid="{D5CDD505-2E9C-101B-9397-08002B2CF9AE}" pid="15" name="Matter Name">
    <vt:lpwstr>GENERAL</vt:lpwstr>
  </property>
  <property fmtid="{D5CDD505-2E9C-101B-9397-08002B2CF9AE}" pid="16" name="Matter No.">
    <vt:lpwstr>0001</vt:lpwstr>
  </property>
  <property fmtid="{D5CDD505-2E9C-101B-9397-08002B2CF9AE}" pid="17" name="Orig Doc Path">
    <vt:lpwstr/>
  </property>
  <property fmtid="{D5CDD505-2E9C-101B-9397-08002B2CF9AE}" pid="18" name="Parties">
    <vt:lpwstr/>
  </property>
  <property fmtid="{D5CDD505-2E9C-101B-9397-08002B2CF9AE}" pid="19" name="Signer(s)">
    <vt:lpwstr/>
  </property>
</Properties>
</file>