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8640" w:leader="none"/>
        </w:tabs>
        <w:jc w:val="both"/>
        <w:rPr/>
      </w:pPr>
      <w:r>
        <w:rPr/>
        <w:drawing>
          <wp:inline distT="0" distB="0" distL="0" distR="0">
            <wp:extent cx="941705" cy="93535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Arial" w:cs="Arial" w:ascii="Arial" w:hAnsi="Arial"/>
          <w:b/>
          <w:sz w:val="30"/>
        </w:rPr>
        <w:t xml:space="preserve"> </w:t>
      </w:r>
      <w:r>
        <w:rPr>
          <w:rFonts w:cs="Arial" w:ascii="Arial" w:hAnsi="Arial"/>
          <w:b/>
          <w:sz w:val="30"/>
        </w:rPr>
        <w:tab/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Natural Gas,</w:t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Electricity and</w:t>
        <w:tab/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16"/>
        </w:rPr>
        <w:t>Endless Possibilities</w:t>
      </w:r>
      <w:r>
        <w:rPr>
          <w:rFonts w:cs="Arial" w:ascii="Arial" w:hAnsi="Arial"/>
          <w:b/>
          <w:sz w:val="30"/>
        </w:rPr>
        <w:tab/>
      </w:r>
    </w:p>
    <w:p>
      <w:pPr>
        <w:pStyle w:val="Normal"/>
        <w:ind w:start="6030" w:end="0"/>
        <w:rPr>
          <w:rFonts w:ascii="Arial" w:hAnsi="Arial" w:cs="Arial"/>
          <w:b/>
          <w:sz w:val="30"/>
        </w:rPr>
      </w:pPr>
      <w:r>
        <w:rPr>
          <w:rFonts w:cs="Arial" w:ascii="Arial" w:hAnsi="Arial"/>
          <w:b/>
          <w:sz w:val="30"/>
        </w:rPr>
        <w:t>INTEROFFICE</w:t>
      </w:r>
    </w:p>
    <w:p>
      <w:pPr>
        <w:pStyle w:val="Normal"/>
        <w:ind w:start="6030" w:end="0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30"/>
        </w:rPr>
        <w:t>MEMORANDUM</w:t>
      </w:r>
    </w:p>
    <w:p>
      <w:pPr>
        <w:pStyle w:val="Normal"/>
        <w:tabs>
          <w:tab w:val="clear" w:pos="720"/>
          <w:tab w:val="right" w:pos="8640" w:leader="none"/>
        </w:tabs>
        <w:jc w:val="both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</w:r>
    </w:p>
    <w:tbl>
      <w:tblPr>
        <w:tblW w:w="9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69"/>
        <w:gridCol w:w="3762"/>
        <w:gridCol w:w="1673"/>
        <w:gridCol w:w="475"/>
        <w:gridCol w:w="1956"/>
        <w:gridCol w:w="213"/>
      </w:tblGrid>
      <w:tr>
        <w:trPr/>
        <w:tc>
          <w:tcPr>
            <w:tcW w:w="1569" w:type="dxa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  <w:t>TO:</w:t>
            </w:r>
          </w:p>
        </w:tc>
        <w:tc>
          <w:tcPr>
            <w:tcW w:w="3762" w:type="dxa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EWS Legal</w:t>
            </w:r>
          </w:p>
        </w:tc>
        <w:tc>
          <w:tcPr>
            <w:tcW w:w="214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21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3762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214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  <w:tc>
          <w:tcPr>
            <w:tcW w:w="21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  <w:t>FROM:</w:t>
            </w:r>
          </w:p>
        </w:tc>
        <w:tc>
          <w:tcPr>
            <w:tcW w:w="3762" w:type="dxa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Mark E. Haedicke</w:t>
            </w:r>
          </w:p>
        </w:tc>
        <w:tc>
          <w:tcPr>
            <w:tcW w:w="214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  <w:t>DEPARTMENT:</w:t>
            </w:r>
          </w:p>
        </w:tc>
        <w:tc>
          <w:tcPr>
            <w:tcW w:w="1956" w:type="dxa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EWS Legal</w:t>
            </w:r>
          </w:p>
        </w:tc>
        <w:tc>
          <w:tcPr>
            <w:tcW w:w="21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</w:r>
          </w:p>
        </w:tc>
        <w:tc>
          <w:tcPr>
            <w:tcW w:w="3762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</w:r>
          </w:p>
        </w:tc>
        <w:tc>
          <w:tcPr>
            <w:tcW w:w="214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</w:r>
          </w:p>
        </w:tc>
        <w:tc>
          <w:tcPr>
            <w:tcW w:w="21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  <w:t>SUBJECT:</w:t>
            </w:r>
          </w:p>
        </w:tc>
        <w:tc>
          <w:tcPr>
            <w:tcW w:w="3762" w:type="dxa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Unanimous Consents of Directors</w:t>
            </w:r>
          </w:p>
        </w:tc>
        <w:tc>
          <w:tcPr>
            <w:tcW w:w="1673" w:type="dxa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  <w:t>DATE:</w:t>
            </w:r>
          </w:p>
        </w:tc>
        <w:tc>
          <w:tcPr>
            <w:tcW w:w="2644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  <w:t>March 28, 2001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</w:r>
          </w:p>
        </w:tc>
        <w:tc>
          <w:tcPr>
            <w:tcW w:w="3762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</w:r>
          </w:p>
        </w:tc>
        <w:tc>
          <w:tcPr>
            <w:tcW w:w="1673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</w:r>
          </w:p>
        </w:tc>
        <w:tc>
          <w:tcPr>
            <w:tcW w:w="264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</w:r>
          </w:p>
        </w:tc>
      </w:tr>
    </w:tbl>
    <w:p>
      <w:pPr>
        <w:pStyle w:val="Normal"/>
        <w:pBdr>
          <w:bottom w:val="single" w:sz="18" w:space="1" w:color="000000"/>
        </w:pBdr>
        <w:tabs>
          <w:tab w:val="clear" w:pos="720"/>
          <w:tab w:val="left" w:pos="1344" w:leader="none"/>
          <w:tab w:val="left" w:pos="5106" w:leader="none"/>
          <w:tab w:val="left" w:pos="7254" w:leader="none"/>
        </w:tabs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BodyText"/>
        <w:rPr>
          <w:rFonts w:ascii="Arial" w:hAnsi="Arial" w:cs="Arial"/>
          <w:sz w:val="26"/>
        </w:rPr>
      </w:pPr>
      <w:r>
        <w:rPr>
          <w:rFonts w:cs="Arial"/>
          <w:sz w:val="26"/>
        </w:rPr>
      </w:r>
    </w:p>
    <w:p>
      <w:pPr>
        <w:pStyle w:val="BodyText"/>
        <w:rPr/>
      </w:pPr>
      <w:r>
        <w:rPr/>
        <w:tab/>
        <w:t>It has become customary to prepare Unanimous Consents of Directors for many transactions even if such actions are not required by the relevant By-laws and/or Certificate of Incorporation.  Please consider carefully whether Unanimous Consents of Directors are necessary or appropriate in a particular transaction, i.e., the transaction is a significant transaction or evidence of authority is required for a legal opinion.  When in doubt, please review the By-laws and Certificate of Incorporation of the relevant entity and discuss the matter with a member of the Office of the General Counsel.</w:t>
      </w:r>
    </w:p>
    <w:p>
      <w:pPr>
        <w:pStyle w:val="BodyText"/>
        <w:rPr/>
      </w:pPr>
      <w:r>
        <w:rPr/>
      </w:r>
    </w:p>
    <w:p>
      <w:pPr>
        <w:pStyle w:val="BodyText"/>
        <w:ind w:firstLine="720" w:end="0"/>
        <w:rPr/>
      </w:pPr>
      <w:r>
        <w:rPr/>
        <w:t>Thank you.</w:t>
      </w:r>
    </w:p>
    <w:p>
      <w:pPr>
        <w:pStyle w:val="BodyText"/>
        <w:ind w:firstLine="720" w:end="0"/>
        <w:rPr/>
      </w:pPr>
      <w:r>
        <w:rPr/>
      </w:r>
    </w:p>
    <w:sectPr>
      <w:footerReference w:type="defaul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/mnt/main-storage/datasets/enron-docs/doc/Unanimous_Cnsnt_Directors.doc</w:t>
    </w:r>
    <w:r>
      <w:rPr>
        <w:sz w:val="12"/>
        <w:rFonts w:cs="Arial" w:ascii="Arial" w:hAnsi="Arial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ms Rmn" w:hAnsi="Tms Rmn" w:cs="Tms Rmn"/>
      <w:sz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2001-03-26T21:21:00Z</dcterms:created>
  <dc:creator>robin jordan</dc:creator>
  <dc:description/>
  <dc:language>en-CA</dc:language>
  <cp:lastModifiedBy>carolyngeorge</cp:lastModifiedBy>
  <cp:lastPrinted>2001-03-28T08:34:00Z</cp:lastPrinted>
  <dcterms:modified xsi:type="dcterms:W3CDTF">2001-03-28T13:33:00Z</dcterms:modified>
  <cp:revision>5</cp:revision>
  <dc:subject/>
  <dc:title>  	</dc:title>
</cp:coreProperties>
</file>