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FirstIndent"/>
        <w:spacing w:before="0" w:after="0"/>
        <w:ind w:hanging="0" w:end="-720"/>
        <w:jc w:val="center"/>
        <w:rPr>
          <w:b/>
          <w:bCs/>
          <w:spacing w:val="-3"/>
        </w:rPr>
      </w:pPr>
      <w:r>
        <w:rPr>
          <w:b/>
          <w:bCs/>
          <w:spacing w:val="-3"/>
        </w:rPr>
        <w:t>NORTHERN BORDER PARTNERS, L.P.</w:t>
      </w:r>
    </w:p>
    <w:p>
      <w:pPr>
        <w:pStyle w:val="BodyTextFirstIndent"/>
        <w:spacing w:before="0" w:after="0"/>
        <w:ind w:hanging="0" w:end="-720"/>
        <w:jc w:val="center"/>
        <w:rPr>
          <w:b/>
          <w:bCs/>
          <w:spacing w:val="-3"/>
        </w:rPr>
      </w:pPr>
      <w:r>
        <w:rPr>
          <w:b/>
          <w:bCs/>
          <w:spacing w:val="-3"/>
        </w:rPr>
        <w:t>NORTHERN BORDER INTERMEDIATE LIMITED PARTNERSHIP</w:t>
      </w:r>
    </w:p>
    <w:p>
      <w:pPr>
        <w:pStyle w:val="BodyTextFirstIndent"/>
        <w:spacing w:before="0" w:after="0"/>
        <w:ind w:hanging="0" w:end="-720"/>
        <w:jc w:val="center"/>
        <w:rPr>
          <w:b/>
          <w:bCs/>
          <w:spacing w:val="-3"/>
        </w:rPr>
      </w:pPr>
      <w:r>
        <w:rPr>
          <w:b/>
          <w:bCs/>
          <w:spacing w:val="-3"/>
        </w:rPr>
        <w:t>UNANIMOUS CONSENT</w:t>
      </w:r>
    </w:p>
    <w:p>
      <w:pPr>
        <w:pStyle w:val="BodyTextFirstIndent"/>
        <w:spacing w:before="0" w:after="0"/>
        <w:ind w:hanging="0" w:end="-720"/>
        <w:jc w:val="center"/>
        <w:rPr>
          <w:b/>
          <w:bCs/>
          <w:spacing w:val="-3"/>
        </w:rPr>
      </w:pPr>
      <w:r>
        <w:rPr>
          <w:b/>
          <w:bCs/>
          <w:spacing w:val="-3"/>
        </w:rPr>
        <w:t>OF PARTNERSHIP POLICY COMMITTEES</w:t>
      </w:r>
    </w:p>
    <w:p>
      <w:pPr>
        <w:pStyle w:val="BodyTextFirstIndent"/>
        <w:spacing w:before="0" w:after="0"/>
        <w:ind w:hanging="0" w:end="-720"/>
        <w:jc w:val="center"/>
        <w:rPr>
          <w:b/>
          <w:bCs/>
          <w:spacing w:val="-3"/>
        </w:rPr>
      </w:pPr>
      <w:r>
        <w:rPr>
          <w:b/>
          <w:bCs/>
          <w:spacing w:val="-3"/>
        </w:rPr>
      </w:r>
    </w:p>
    <w:p>
      <w:pPr>
        <w:pStyle w:val="BodyTextFirstIndent"/>
        <w:spacing w:before="0" w:after="0"/>
        <w:ind w:hanging="0" w:end="-720"/>
        <w:jc w:val="start"/>
        <w:rPr/>
      </w:pPr>
      <w:r>
        <w:rPr>
          <w:spacing w:val="-3"/>
        </w:rPr>
        <w:tab/>
        <w:t>The undersigned, constituting all of the members of the Partnership Policy Committees of Northern Border Partners, L.P., a Delaware limited partnership (the “MLP”), and of Northern Border Intermediate Limited Partnership (the “ILP”), collectively referred to as the Partnership, hereby adopt, by unanimous consent, the following resolutions:</w:t>
      </w:r>
      <w:r>
        <w:rPr>
          <w:b/>
          <w:bCs/>
          <w:spacing w:val="-3"/>
        </w:rPr>
        <w:t xml:space="preserve"> </w:t>
      </w:r>
    </w:p>
    <w:p>
      <w:pPr>
        <w:pStyle w:val="BodyTextFirstIndent"/>
        <w:ind w:hanging="0" w:end="0"/>
        <w:rPr>
          <w:b/>
          <w:bCs/>
          <w:spacing w:val="-3"/>
        </w:rPr>
      </w:pPr>
      <w:r>
        <w:rPr>
          <w:b/>
          <w:bCs/>
          <w:spacing w:val="-3"/>
        </w:rPr>
      </w:r>
    </w:p>
    <w:p>
      <w:pPr>
        <w:pStyle w:val="BodyTextFirstIndent"/>
        <w:ind w:firstLine="720" w:start="720" w:end="0"/>
        <w:rPr/>
      </w:pPr>
      <w:r>
        <w:rPr>
          <w:spacing w:val="-3"/>
        </w:rPr>
        <w:t xml:space="preserve">WHEREAS, through the acquisition completed in September 2000, the Partnership acquired among other things, a membership interest in Fort Union Gas Gathering, L.L.C., a Delaware limited liability company (“Fort Union”), which interest is held through Crestone Powder River, L.L.C. Fort Union has constructed a 24 inch, approximately 106 mile gas gathering pipeline system and carbon dioxide treatment facility </w:t>
      </w:r>
      <w:r>
        <w:rPr/>
        <w:t>located</w:t>
      </w:r>
      <w:r>
        <w:rPr>
          <w:spacing w:val="-3"/>
        </w:rPr>
        <w:t xml:space="preserve"> in Wyoming’s Powder River Basin, which construction was financed under a Construction and Term Credit Agreement dated April 16, 1999, as amended.</w:t>
      </w:r>
    </w:p>
    <w:p>
      <w:pPr>
        <w:pStyle w:val="BodyTextFirstIndent"/>
        <w:tabs>
          <w:tab w:val="clear" w:pos="720"/>
          <w:tab w:val="left" w:pos="7920" w:leader="none"/>
        </w:tabs>
        <w:ind w:firstLine="720" w:start="720" w:end="0"/>
        <w:rPr/>
      </w:pPr>
      <w:r>
        <w:rPr>
          <w:spacing w:val="-3"/>
        </w:rPr>
        <w:t xml:space="preserve">WHEREAS, during the meeting held on November 8, 2000, the members of the Partnership Policy Committees were advised of Fort Union’s planned </w:t>
      </w:r>
      <w:r>
        <w:rPr/>
        <w:t>construction a 24 inch, approximately 62-mile loop pipeline that will increase capacity to the system. The financing for such expansion</w:t>
      </w:r>
      <w:r>
        <w:rPr>
          <w:spacing w:val="-3"/>
        </w:rPr>
        <w:t xml:space="preserve"> is to be provided under an Amended and Restated Construction and Term Credit Agreement (the “Credit Agreement”) among Fort Union, the lenders from time to time party thereto, Fleet Securities, Inc. and Credit Lyonnais New York Branch, as co-arrangers, Fleet National Bank, as syndication agent, Credit Lyonnais New York Branch, as documentation agent and Fleet National Bank, as Administrative Agent. </w:t>
      </w:r>
    </w:p>
    <w:p>
      <w:pPr>
        <w:pStyle w:val="BodyTextFirstIndent"/>
        <w:tabs>
          <w:tab w:val="clear" w:pos="720"/>
          <w:tab w:val="left" w:pos="7920" w:leader="none"/>
        </w:tabs>
        <w:ind w:firstLine="720" w:start="720" w:end="0"/>
        <w:rPr>
          <w:spacing w:val="-3"/>
        </w:rPr>
      </w:pPr>
      <w:r>
        <w:rPr>
          <w:spacing w:val="-3"/>
        </w:rPr>
        <w:t>WHEREAS, as part of the condition to the financing, certain agreements entered into and assumed by the Partnership and/or its subsidiaries under the prior Credit Agreement are being required to be provided for the Amended and Restated Construction and Term Credit Agreement.</w:t>
      </w:r>
    </w:p>
    <w:p>
      <w:pPr>
        <w:pStyle w:val="BodyTextFirstIndent"/>
        <w:tabs>
          <w:tab w:val="clear" w:pos="720"/>
          <w:tab w:val="left" w:pos="7920" w:leader="none"/>
        </w:tabs>
        <w:ind w:firstLine="720" w:start="720" w:end="0"/>
        <w:rPr>
          <w:spacing w:val="-3"/>
        </w:rPr>
      </w:pPr>
      <w:r>
        <w:rPr>
          <w:spacing w:val="-3"/>
        </w:rPr>
        <w:t>NOW THEREFORE BE IT RESOLVED, that the officers of the ILP, MLP, of Crestone Energy Ventures, L.L.C. and of Crestone Powder River, L.L.C (or any one of them acting alone) are authorized, empowered and directed to:</w:t>
      </w:r>
    </w:p>
    <w:p>
      <w:pPr>
        <w:pStyle w:val="BodyText"/>
        <w:numPr>
          <w:ilvl w:val="0"/>
          <w:numId w:val="2"/>
        </w:numPr>
        <w:tabs>
          <w:tab w:val="left" w:pos="720" w:leader="none"/>
        </w:tabs>
        <w:ind w:hanging="187" w:start="1987" w:end="1440"/>
        <w:jc w:val="both"/>
        <w:rPr/>
      </w:pPr>
      <w:r>
        <w:rPr/>
        <w:t xml:space="preserve">to execute and deliver to Fleet National Bank, Administrative Agent pursuant to the </w:t>
      </w:r>
      <w:r>
        <w:rPr>
          <w:spacing w:val="-3"/>
        </w:rPr>
        <w:t>Credit Agreement</w:t>
      </w:r>
      <w:r>
        <w:rPr/>
        <w:t xml:space="preserve">, an Amended and Restated Sponsor Guarantee and Guarantee Supplements by the MLP and ILP to secure proportional payment under the expansion obligations and the guarantee performance under the gas gathering agreement and obligations under the debt reserve accounts; </w:t>
      </w:r>
    </w:p>
    <w:p>
      <w:pPr>
        <w:pStyle w:val="BodyText"/>
        <w:numPr>
          <w:ilvl w:val="0"/>
          <w:numId w:val="2"/>
        </w:numPr>
        <w:tabs>
          <w:tab w:val="clear" w:pos="720"/>
          <w:tab w:val="left" w:pos="8460" w:leader="none"/>
        </w:tabs>
        <w:ind w:hanging="180" w:start="1980" w:end="1440"/>
        <w:jc w:val="both"/>
        <w:rPr/>
      </w:pPr>
      <w:r>
        <w:rPr/>
        <w:t xml:space="preserve">to execute and deliver the Amendment to Consent to Assignment by Crestone Energy Ventures, L.L.C under which the interest of Fort Union in the Firm Gathering Agreement with Crestone Energy Ventures, L.L.C. is collaterally assigned to Fleet National Bank, Administrative Agent; </w:t>
      </w:r>
    </w:p>
    <w:p>
      <w:pPr>
        <w:pStyle w:val="BodyText"/>
        <w:numPr>
          <w:ilvl w:val="0"/>
          <w:numId w:val="2"/>
        </w:numPr>
        <w:tabs>
          <w:tab w:val="left" w:pos="720" w:leader="none"/>
        </w:tabs>
        <w:ind w:hanging="187" w:start="1987" w:end="1440"/>
        <w:jc w:val="both"/>
        <w:rPr/>
      </w:pPr>
      <w:r>
        <w:rPr/>
        <w:t xml:space="preserve">to execute and deliver Amendment No. 3 to the Firm Gathering Agreement by Crestone Energy Ventures, L.L.C. amending the fixed gathering fee to apply to the proportionate share of expansion capacity; </w:t>
      </w:r>
    </w:p>
    <w:p>
      <w:pPr>
        <w:pStyle w:val="BodyText"/>
        <w:numPr>
          <w:ilvl w:val="0"/>
          <w:numId w:val="2"/>
        </w:numPr>
        <w:tabs>
          <w:tab w:val="clear" w:pos="720"/>
          <w:tab w:val="left" w:pos="8460" w:leader="none"/>
        </w:tabs>
        <w:ind w:hanging="180" w:start="1980" w:end="1440"/>
        <w:jc w:val="both"/>
        <w:rPr/>
      </w:pPr>
      <w:r>
        <w:rPr/>
        <w:t>to execute and deliver Amendment to Pledge Agreement by Crestone Powder River, L.L.C. under which its interest in Fort Union is pledged to Fleet National Bank, Administrative Agent; and</w:t>
      </w:r>
    </w:p>
    <w:p>
      <w:pPr>
        <w:pStyle w:val="BodyText"/>
        <w:numPr>
          <w:ilvl w:val="0"/>
          <w:numId w:val="2"/>
        </w:numPr>
        <w:tabs>
          <w:tab w:val="clear" w:pos="720"/>
          <w:tab w:val="left" w:pos="8460" w:leader="none"/>
        </w:tabs>
        <w:ind w:hanging="180" w:start="1980" w:end="1440"/>
        <w:jc w:val="both"/>
        <w:rPr/>
      </w:pPr>
      <w:r>
        <w:rPr/>
        <w:t>to execute and deliver all documents and to take such action as such officers (or any of them) deems necessary and appropriate to carry out the transactions contemplated by the Credit Agreement;</w:t>
      </w:r>
    </w:p>
    <w:p>
      <w:pPr>
        <w:pStyle w:val="BodyText"/>
        <w:ind w:firstLine="720" w:start="1440" w:end="288"/>
        <w:jc w:val="both"/>
        <w:rPr/>
      </w:pPr>
      <w:r>
        <w:rPr/>
      </w:r>
    </w:p>
    <w:p>
      <w:pPr>
        <w:pStyle w:val="BodyText"/>
        <w:ind w:firstLine="720" w:start="720" w:end="-180"/>
        <w:jc w:val="both"/>
        <w:rPr/>
      </w:pPr>
      <w:r>
        <w:rPr/>
        <w:t xml:space="preserve">RESOLVED FURTHER, that the officers of the MLP and ILP be and each of them is authorized, empowered and directed, for and in the name and on behalf of the MLP and ILP and their counsel be, authorized, empowered, and directed to take any and all such further actions as shall be necessary for the MLP and ILP to perform their respective obligations under the documents executed on behalf of and by the MLP and ILP pursuant to the foregoing resolutions and to take any and all such further action to amend and execute all such further instruments and documents, for and in the name and on behalf of the MLP and ILP, and to pay all such expenses as in their discretion appear to be necessary, proper, or advisable to carry into effect the purposes and intentions of this and each of the foregoing resolutions; </w:t>
      </w:r>
    </w:p>
    <w:p>
      <w:pPr>
        <w:pStyle w:val="BodyText"/>
        <w:ind w:firstLine="720" w:start="720" w:end="-180"/>
        <w:jc w:val="both"/>
        <w:rPr/>
      </w:pPr>
      <w:r>
        <w:rPr/>
      </w:r>
    </w:p>
    <w:p>
      <w:pPr>
        <w:pStyle w:val="BodyText"/>
        <w:ind w:firstLine="720" w:start="720" w:end="-180"/>
        <w:jc w:val="both"/>
        <w:rPr/>
      </w:pPr>
      <w:r>
        <w:rPr/>
        <w:t>RESOLVED FURTHER, that the officers of Crestone Energy Ventures, L.L.C. and of Crestone Powder River, L.L.C be and each of them is authorized, empowered and directed, for and in the name and on behalf of Crestone Energy Ventures, L.L.C. and Crestone Powder River, L.L.C. and their counsel be, authorized, empowered, and directed to take any and all such further actions as shall be necessary for Crestone Energy Ventures, L.L.C. and Crestone Powder River, L.L.C. to perform their respective obligations under the documents executed on behalf of and by Crestone Energy Ventures, L.L.C. and Crestone Powder River, L.L.C. pursuant to the foregoing resolutions and to take any and all such further action to amend and execute all such further instruments and documents, for and in the name and on behalf of Crestone Energy Ventures, L.L.C. and Crestone Powder River, L.L.C., and to pay all such expenses as in their discretion appear to be necessary, proper, or advisable to carry into effect the purposes and intentions of this and each of the foregoing resolutions.</w:t>
      </w:r>
    </w:p>
    <w:p>
      <w:pPr>
        <w:pStyle w:val="BodyText"/>
        <w:ind w:firstLine="720" w:start="1440" w:end="-180"/>
        <w:jc w:val="both"/>
        <w:rPr/>
      </w:pPr>
      <w:r>
        <w:rPr/>
      </w:r>
    </w:p>
    <w:p>
      <w:pPr>
        <w:pStyle w:val="BodyText"/>
        <w:ind w:firstLine="720" w:start="1440" w:end="-180"/>
        <w:jc w:val="both"/>
        <w:rPr/>
      </w:pPr>
      <w:r>
        <w:rPr/>
      </w:r>
    </w:p>
    <w:p>
      <w:pPr>
        <w:pStyle w:val="BodyText"/>
        <w:ind w:firstLine="720" w:start="1440" w:end="-180"/>
        <w:jc w:val="both"/>
        <w:rPr/>
      </w:pPr>
      <w:r>
        <w:rPr/>
      </w:r>
    </w:p>
    <w:p>
      <w:pPr>
        <w:pStyle w:val="BodyText"/>
        <w:ind w:end="-180"/>
        <w:jc w:val="both"/>
        <w:rPr/>
      </w:pPr>
      <w:r>
        <w:rPr/>
        <w:t>Executed in multiple counterparts as of the    day of June, 2001.</w:t>
      </w:r>
    </w:p>
    <w:p>
      <w:pPr>
        <w:pStyle w:val="BodyText"/>
        <w:ind w:end="-180"/>
        <w:jc w:val="both"/>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
              <w:spacing w:before="0" w:after="0"/>
              <w:jc w:val="both"/>
              <w:rPr>
                <w:u w:val="single"/>
              </w:rPr>
            </w:pPr>
            <w:r>
              <w:rPr>
                <w:u w:val="single"/>
              </w:rPr>
              <w:tab/>
              <w:tab/>
              <w:tab/>
              <w:tab/>
              <w:tab/>
            </w:r>
          </w:p>
          <w:p>
            <w:pPr>
              <w:pStyle w:val="BodyText"/>
              <w:spacing w:before="0" w:after="0"/>
              <w:jc w:val="both"/>
              <w:rPr/>
            </w:pPr>
            <w:r>
              <w:rPr/>
              <w:t xml:space="preserve">William R. Cordes, Chairman of </w:t>
            </w:r>
          </w:p>
          <w:p>
            <w:pPr>
              <w:pStyle w:val="BodyText"/>
              <w:spacing w:before="0" w:after="0"/>
              <w:jc w:val="both"/>
              <w:rPr/>
            </w:pPr>
            <w:r>
              <w:rPr/>
              <w:t>Partnership Policy Committees</w:t>
            </w:r>
          </w:p>
        </w:tc>
        <w:tc>
          <w:tcPr>
            <w:tcW w:w="4428" w:type="dxa"/>
            <w:tcBorders/>
          </w:tcPr>
          <w:p>
            <w:pPr>
              <w:pStyle w:val="BodyText"/>
              <w:spacing w:before="0" w:after="0"/>
              <w:jc w:val="both"/>
              <w:rPr>
                <w:u w:val="single"/>
              </w:rPr>
            </w:pPr>
            <w:r>
              <w:rPr>
                <w:u w:val="single"/>
              </w:rPr>
              <w:tab/>
              <w:tab/>
              <w:tab/>
              <w:tab/>
              <w:tab/>
            </w:r>
          </w:p>
          <w:p>
            <w:pPr>
              <w:pStyle w:val="BodyText"/>
              <w:spacing w:before="0" w:after="0"/>
              <w:jc w:val="both"/>
              <w:rPr/>
            </w:pPr>
            <w:r>
              <w:rPr/>
              <w:t>Stanley C. Horton, Member of</w:t>
            </w:r>
          </w:p>
          <w:p>
            <w:pPr>
              <w:pStyle w:val="BodyText"/>
              <w:spacing w:before="0" w:after="0"/>
              <w:jc w:val="both"/>
              <w:rPr/>
            </w:pPr>
            <w:r>
              <w:rPr/>
              <w:t>Partnership Policy Committees</w:t>
            </w:r>
          </w:p>
        </w:tc>
      </w:tr>
      <w:tr>
        <w:trPr/>
        <w:tc>
          <w:tcPr>
            <w:tcW w:w="4428" w:type="dxa"/>
            <w:tcBorders/>
          </w:tcPr>
          <w:p>
            <w:pPr>
              <w:pStyle w:val="BodyText"/>
              <w:snapToGrid w:val="false"/>
              <w:spacing w:before="0" w:after="0"/>
              <w:jc w:val="both"/>
              <w:rPr/>
            </w:pPr>
            <w:r>
              <w:rPr/>
            </w:r>
          </w:p>
        </w:tc>
        <w:tc>
          <w:tcPr>
            <w:tcW w:w="4428" w:type="dxa"/>
            <w:tcBorders/>
          </w:tcPr>
          <w:p>
            <w:pPr>
              <w:pStyle w:val="BodyText"/>
              <w:snapToGrid w:val="false"/>
              <w:spacing w:before="0" w:after="0"/>
              <w:jc w:val="both"/>
              <w:rPr/>
            </w:pPr>
            <w:r>
              <w:rPr/>
            </w:r>
          </w:p>
        </w:tc>
      </w:tr>
      <w:tr>
        <w:trPr/>
        <w:tc>
          <w:tcPr>
            <w:tcW w:w="4428" w:type="dxa"/>
            <w:tcBorders/>
          </w:tcPr>
          <w:p>
            <w:pPr>
              <w:pStyle w:val="BodyText"/>
              <w:snapToGrid w:val="false"/>
              <w:spacing w:before="0" w:after="0"/>
              <w:jc w:val="both"/>
              <w:rPr/>
            </w:pPr>
            <w:r>
              <w:rPr/>
            </w:r>
          </w:p>
        </w:tc>
        <w:tc>
          <w:tcPr>
            <w:tcW w:w="4428" w:type="dxa"/>
            <w:tcBorders/>
          </w:tcPr>
          <w:p>
            <w:pPr>
              <w:pStyle w:val="BodyText"/>
              <w:spacing w:before="0" w:after="0"/>
              <w:jc w:val="both"/>
              <w:rPr>
                <w:u w:val="single"/>
              </w:rPr>
            </w:pPr>
            <w:r>
              <w:rPr>
                <w:u w:val="single"/>
              </w:rPr>
              <w:tab/>
              <w:tab/>
              <w:tab/>
              <w:tab/>
              <w:tab/>
            </w:r>
          </w:p>
          <w:p>
            <w:pPr>
              <w:pStyle w:val="BodyText"/>
              <w:spacing w:before="0" w:after="0"/>
              <w:jc w:val="both"/>
              <w:rPr/>
            </w:pPr>
            <w:r>
              <w:rPr/>
              <w:t>Cuba Wadlington, Jr., Member of</w:t>
            </w:r>
          </w:p>
          <w:p>
            <w:pPr>
              <w:pStyle w:val="BodyText"/>
              <w:spacing w:before="0" w:after="0"/>
              <w:jc w:val="both"/>
              <w:rPr/>
            </w:pPr>
            <w:r>
              <w:rPr/>
              <w:t>Partnership Policy Committees</w:t>
            </w:r>
          </w:p>
        </w:tc>
      </w:tr>
    </w:tbl>
    <w:p>
      <w:pPr>
        <w:pStyle w:val="BodyText"/>
        <w:ind w:end="-180"/>
        <w:jc w:val="both"/>
        <w:rPr/>
      </w:pPr>
      <w:r>
        <w:rPr/>
      </w:r>
    </w:p>
    <w:p>
      <w:pPr>
        <w:pStyle w:val="BodyText"/>
        <w:ind w:end="-180"/>
        <w:jc w:val="both"/>
        <w:rPr/>
      </w:pPr>
      <w:r>
        <w:rPr/>
        <w:t xml:space="preserve"> </w:t>
      </w:r>
    </w:p>
    <w:p>
      <w:pPr>
        <w:pStyle w:val="Normal"/>
        <w:ind w:end="-180"/>
        <w:jc w:val="both"/>
        <w:rPr/>
      </w:pPr>
      <w:r>
        <w:rPr/>
      </w:r>
    </w:p>
    <w:p>
      <w:pPr>
        <w:pStyle w:val="BodyTextFirstIndent"/>
        <w:ind w:firstLine="720" w:start="720" w:end="-180"/>
        <w:rPr>
          <w:spacing w:val="-3"/>
        </w:rPr>
      </w:pPr>
      <w:r>
        <w:rPr>
          <w:spacing w:val="-3"/>
        </w:rPr>
      </w:r>
    </w:p>
    <w:p>
      <w:pPr>
        <w:pStyle w:val="BodyTextFirstIndent"/>
        <w:spacing w:before="0" w:after="240"/>
        <w:ind w:firstLine="720" w:start="720" w:end="-180"/>
        <w:rPr>
          <w:spacing w:val="-3"/>
        </w:rPr>
      </w:pPr>
      <w:r>
        <w:rPr>
          <w:spacing w:val="-3"/>
        </w:rPr>
      </w:r>
    </w:p>
    <w:sectPr>
      <w:type w:val="nextPage"/>
      <w:pgSz w:w="12240" w:h="15840"/>
      <w:pgMar w:left="1440" w:right="288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lowerRoman"/>
      <w:lvlText w:val="(%1)"/>
      <w:lvlJc w:val="end"/>
      <w:pPr>
        <w:tabs>
          <w:tab w:val="num" w:pos="1980"/>
        </w:tabs>
        <w:ind w:start="19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spacing w:before="0" w:after="240"/>
      <w:jc w:val="center"/>
      <w:outlineLvl w:val="0"/>
    </w:pPr>
    <w:rPr>
      <w:rFonts w:ascii="Times New Roman Bold" w:hAnsi="Times New Roman Bold" w:cs="Arial"/>
      <w:b/>
      <w:bCs/>
      <w:kern w:val="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Number">
    <w:name w:val="List Number"/>
    <w:basedOn w:val="Normal"/>
    <w:qFormat/>
    <w:pPr>
      <w:numPr>
        <w:ilvl w:val="0"/>
        <w:numId w:val="1"/>
      </w:numPr>
      <w:spacing w:before="0" w:after="240"/>
    </w:pPr>
    <w:rPr>
      <w:szCs w:val="20"/>
    </w:rPr>
  </w:style>
  <w:style w:type="paragraph" w:styleId="BodyTextFirstIndent">
    <w:name w:val="Body Text First Indent"/>
    <w:basedOn w:val="BodyText"/>
    <w:qFormat/>
    <w:pPr>
      <w:spacing w:before="0" w:after="240"/>
      <w:ind w:firstLine="1440" w:start="0" w:end="0"/>
      <w:jc w:val="both"/>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2001-05-30T23:56:00Z</dcterms:created>
  <dc:creator>jplace</dc:creator>
  <dc:description/>
  <dc:language>en-CA</dc:language>
  <cp:lastModifiedBy>calvis</cp:lastModifiedBy>
  <cp:lastPrinted>2001-05-31T13:46:00Z</cp:lastPrinted>
  <dcterms:modified xsi:type="dcterms:W3CDTF">2001-05-31T16:34:00Z</dcterms:modified>
  <cp:revision>5</cp:revision>
  <dc:subject/>
  <dc:title>NORTHERN BORDER PARTNERS, L</dc:title>
</cp:coreProperties>
</file>