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GTC –US Wthr BP BDD</w:t>
      </w:r>
    </w:p>
    <w:p>
      <w:pPr>
        <w:pStyle w:val="Normal"/>
        <w:rPr>
          <w:rFonts w:ascii="Arial" w:hAnsi="Arial" w:cs="Arial"/>
          <w:b/>
          <w:i/>
          <w:i/>
        </w:rPr>
      </w:pPr>
      <w:r>
        <w:rPr>
          <w:rFonts w:cs="Arial" w:ascii="Arial" w:hAnsi="Arial"/>
          <w:b/>
          <w:i/>
        </w:rPr>
      </w:r>
    </w:p>
    <w:p>
      <w:pPr>
        <w:pStyle w:val="Normal"/>
        <w:jc w:val="center"/>
        <w:rPr>
          <w:rFonts w:ascii="Arial" w:hAnsi="Arial" w:cs="Arial"/>
        </w:rPr>
      </w:pPr>
      <w:r>
        <w:rPr>
          <w:rFonts w:cs="Arial" w:ascii="Arial" w:hAnsi="Arial"/>
          <w:b/>
        </w:rPr>
        <w:t>General Terms &amp; Conditions</w:t>
      </w:r>
    </w:p>
    <w:p>
      <w:pPr>
        <w:pStyle w:val="Normal"/>
        <w:rPr>
          <w:rFonts w:ascii="Arial" w:hAnsi="Arial" w:cs="Arial"/>
        </w:rPr>
      </w:pPr>
      <w:r>
        <w:rPr>
          <w:rFonts w:cs="Arial" w:ascii="Arial" w:hAnsi="Arial"/>
        </w:rPr>
        <w:br/>
        <w:t xml:space="preserve">You have already accepted the General Terms &amp; Conditions for this product [or are governed by an existing Master Agreement]. Please read the following General Terms &amp; Conditions (GTC) using the scroll bar to view the rest of the GTC. Select the 'Close' button at the end of the GTC to close the window when finished. </w:t>
        <w:br/>
      </w:r>
    </w:p>
    <w:p>
      <w:pPr>
        <w:pStyle w:val="Normal"/>
        <w:jc w:val="center"/>
        <w:rPr>
          <w:rFonts w:ascii="Arial" w:hAnsi="Arial" w:cs="Arial"/>
        </w:rPr>
      </w:pPr>
      <w:r>
        <w:rPr>
          <w:rStyle w:val="Emphasis"/>
          <w:rFonts w:cs="Arial" w:ascii="Arial" w:hAnsi="Arial"/>
        </w:rPr>
        <w:t>(Guest users will view generic GTCs which are shown for information purposes only)</w:t>
      </w:r>
    </w:p>
    <w:p>
      <w:pPr>
        <w:pStyle w:val="Normal"/>
        <w:jc w:val="end"/>
        <w:rPr>
          <w:rFonts w:ascii="Arial" w:hAnsi="Arial" w:cs="Arial"/>
        </w:rPr>
      </w:pPr>
      <w:r>
        <w:rPr>
          <w:rFonts w:cs="Arial" w:ascii="Arial" w:hAnsi="Arial"/>
        </w:rPr>
        <w:t>Version [ ] – April 5, 2001</w:t>
      </w:r>
    </w:p>
    <w:p>
      <w:pPr>
        <w:pStyle w:val="Normal"/>
        <w:jc w:val="center"/>
        <w:rPr>
          <w:rFonts w:ascii="Arial" w:hAnsi="Arial" w:cs="Arial"/>
          <w:b/>
        </w:rPr>
      </w:pPr>
      <w:r>
        <w:rPr>
          <w:rFonts w:cs="Arial" w:ascii="Arial" w:hAnsi="Arial"/>
          <w:b/>
        </w:rPr>
        <w:t>ENRON NORTH AMERICA CORP.</w:t>
      </w:r>
    </w:p>
    <w:p>
      <w:pPr>
        <w:pStyle w:val="Normal"/>
        <w:jc w:val="center"/>
        <w:rPr>
          <w:rFonts w:ascii="Arial" w:hAnsi="Arial" w:cs="Arial"/>
          <w:b/>
        </w:rPr>
      </w:pPr>
      <w:r>
        <w:rPr>
          <w:rFonts w:cs="Arial" w:ascii="Arial" w:hAnsi="Arial"/>
          <w:b/>
        </w:rPr>
        <w:t>BOND PORTFOLIO BASKET DEGREE DAY SWAP</w:t>
      </w:r>
    </w:p>
    <w:p>
      <w:pPr>
        <w:pStyle w:val="Normal"/>
        <w:jc w:val="center"/>
        <w:rPr>
          <w:rFonts w:ascii="Arial" w:hAnsi="Arial" w:cs="Arial"/>
          <w:b/>
        </w:rPr>
      </w:pPr>
      <w:r>
        <w:rPr>
          <w:rFonts w:cs="Arial" w:ascii="Arial" w:hAnsi="Arial"/>
          <w:b/>
        </w:rPr>
        <w:t>GENERAL TERMS AND CONDITIONS ("GTC")</w:t>
      </w:r>
    </w:p>
    <w:p>
      <w:pPr>
        <w:pStyle w:val="Normal"/>
        <w:jc w:val="both"/>
        <w:rPr>
          <w:rFonts w:ascii="Arial" w:hAnsi="Arial" w:cs="Arial"/>
        </w:rPr>
      </w:pPr>
      <w:r>
        <w:rPr>
          <w:rFonts w:cs="Arial" w:ascii="Arial" w:hAnsi="Arial"/>
        </w:rPr>
        <w:t>1. Until a relevant master agreement is executed between you ("Counterparty") and Enron North America Corp. ("Enron"), this GTC will set forth the general terms and conditions governing the Bond Portfolio Basket Degree Day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 and the 1993 ISDA Commodity Derivatives Definitions and the 2000 Supplement to the 1993 ISDA Commodity Definitions (the “Commodity Definitions”) (collectively, the "Definitions"), as published by the International Swaps and Derivatives Association, Inc. ("ISDA"), are incorporated into this GTC. In the event of any inconsistency between the Definitions and this GTC, this GTC will prevail. In the event of any inconsistency between the 1991 ISDA Definitions and the Commodity Definitions, the Commodity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Fonts w:cs="Arial" w:ascii="Arial" w:hAnsi="Arial"/>
        </w:rPr>
        <w:t xml:space="preserve">2. </w:t>
      </w:r>
      <w:r>
        <w:rPr>
          <w:rFonts w:cs="Arial" w:ascii="Arial" w:hAnsi="Arial"/>
          <w:b/>
          <w:u w:val="single"/>
        </w:rPr>
        <w:t>Terms of Transaction.</w:t>
      </w:r>
      <w:r>
        <w:rPr>
          <w:rFonts w:cs="Arial" w:ascii="Arial" w:hAnsi="Arial"/>
          <w:b/>
        </w:rPr>
        <w:t xml:space="preserve"> </w:t>
      </w:r>
      <w:r>
        <w:rPr>
          <w:rFonts w:cs="Arial" w:ascii="Arial" w:hAnsi="Arial"/>
        </w:rPr>
        <w:t>The terms of the particular Transaction to which this Confirmation relates are as follows:</w:t>
      </w:r>
    </w:p>
    <w:p>
      <w:pPr>
        <w:pStyle w:val="Normal"/>
        <w:jc w:val="both"/>
        <w:rPr>
          <w:rFonts w:ascii="Arial" w:hAnsi="Arial" w:cs="Arial"/>
        </w:rPr>
      </w:pPr>
      <w:r>
        <w:rPr>
          <w:rFonts w:cs="Arial" w:ascii="Arial" w:hAnsi="Arial"/>
        </w:rPr>
      </w:r>
    </w:p>
    <w:p>
      <w:pPr>
        <w:pStyle w:val="Normal"/>
        <w:jc w:val="both"/>
        <w:rPr>
          <w:rFonts w:ascii="Arial" w:hAnsi="Arial" w:cs="Arial"/>
          <w:b/>
          <w:bCs/>
        </w:rPr>
      </w:pPr>
      <w:r>
        <w:rPr>
          <w:rFonts w:cs="Arial" w:ascii="Arial" w:hAnsi="Arial"/>
          <w:b/>
          <w:bCs/>
        </w:rPr>
        <w:t>A.  Provisions relating to the Bond Portfolio BDD Swap:</w:t>
      </w:r>
    </w:p>
    <w:p>
      <w:pPr>
        <w:pStyle w:val="Normal"/>
        <w:jc w:val="both"/>
        <w:rPr>
          <w:rFonts w:ascii="Arial" w:hAnsi="Arial" w:cs="Arial"/>
          <w:b/>
          <w:bCs/>
        </w:rPr>
      </w:pPr>
      <w:r>
        <w:rPr>
          <w:rFonts w:cs="Arial" w:ascii="Arial" w:hAnsi="Arial"/>
          <w:b/>
          <w:bCs/>
        </w:rPr>
      </w:r>
    </w:p>
    <w:tbl>
      <w:tblPr>
        <w:tblW w:w="9554" w:type="dxa"/>
        <w:jc w:val="start"/>
        <w:tblInd w:w="105" w:type="dxa"/>
        <w:tblLayout w:type="fixed"/>
        <w:tblCellMar>
          <w:top w:w="0" w:type="dxa"/>
          <w:start w:w="105" w:type="dxa"/>
          <w:bottom w:w="0" w:type="dxa"/>
          <w:end w:w="105" w:type="dxa"/>
        </w:tblCellMar>
      </w:tblPr>
      <w:tblGrid>
        <w:gridCol w:w="3153"/>
        <w:gridCol w:w="6401"/>
      </w:tblGrid>
      <w:tr>
        <w:trPr/>
        <w:tc>
          <w:tcPr>
            <w:tcW w:w="3153" w:type="dxa"/>
            <w:tcBorders/>
          </w:tcPr>
          <w:p>
            <w:pPr>
              <w:pStyle w:val="Normal"/>
              <w:jc w:val="both"/>
              <w:rPr>
                <w:rFonts w:ascii="Arial" w:hAnsi="Arial" w:cs="Arial"/>
              </w:rPr>
            </w:pPr>
            <w:r>
              <w:rPr>
                <w:rFonts w:cs="Arial" w:ascii="Arial" w:hAnsi="Arial"/>
              </w:rPr>
              <w:t>Transaction Type:</w:t>
            </w:r>
          </w:p>
        </w:tc>
        <w:tc>
          <w:tcPr>
            <w:tcW w:w="6401" w:type="dxa"/>
            <w:tcBorders/>
          </w:tcPr>
          <w:p>
            <w:pPr>
              <w:pStyle w:val="Normal"/>
              <w:jc w:val="both"/>
              <w:rPr>
                <w:rFonts w:ascii="Arial" w:hAnsi="Arial" w:cs="Arial"/>
              </w:rPr>
            </w:pPr>
            <w:r>
              <w:rPr>
                <w:rFonts w:cs="Arial" w:ascii="Arial" w:hAnsi="Arial"/>
              </w:rPr>
              <w:t>Bond Portfolio Basket Degree Day ("BDD") Swap</w:t>
            </w:r>
          </w:p>
        </w:tc>
      </w:tr>
      <w:tr>
        <w:trPr/>
        <w:tc>
          <w:tcPr>
            <w:tcW w:w="3153" w:type="dxa"/>
            <w:tcBorders/>
          </w:tcPr>
          <w:p>
            <w:pPr>
              <w:pStyle w:val="Normal"/>
              <w:jc w:val="both"/>
              <w:rPr>
                <w:rFonts w:ascii="Arial" w:hAnsi="Arial" w:cs="Arial"/>
              </w:rPr>
            </w:pPr>
            <w:r>
              <w:rPr>
                <w:rFonts w:cs="Arial" w:ascii="Arial" w:hAnsi="Arial"/>
              </w:rPr>
              <w:t>Calculation Period:</w:t>
            </w:r>
          </w:p>
        </w:tc>
        <w:tc>
          <w:tcPr>
            <w:tcW w:w="6401" w:type="dxa"/>
            <w:tcBorders/>
          </w:tcPr>
          <w:p>
            <w:pPr>
              <w:pStyle w:val="Normal"/>
              <w:jc w:val="both"/>
              <w:rPr>
                <w:rFonts w:ascii="Arial" w:hAnsi="Arial" w:cs="Arial"/>
              </w:rPr>
            </w:pPr>
            <w:r>
              <w:rPr>
                <w:rFonts w:cs="Arial" w:ascii="Arial" w:hAnsi="Arial"/>
              </w:rPr>
              <w:t>The period from and including the Effective Date to and including the Termination Date.</w:t>
            </w:r>
          </w:p>
        </w:tc>
      </w:tr>
      <w:tr>
        <w:trPr/>
        <w:tc>
          <w:tcPr>
            <w:tcW w:w="3153" w:type="dxa"/>
            <w:tcBorders/>
          </w:tcPr>
          <w:p>
            <w:pPr>
              <w:pStyle w:val="Normal"/>
              <w:jc w:val="both"/>
              <w:rPr>
                <w:rFonts w:ascii="Arial" w:hAnsi="Arial" w:cs="Arial"/>
              </w:rPr>
            </w:pPr>
            <w:r>
              <w:rPr>
                <w:rFonts w:cs="Arial" w:ascii="Arial" w:hAnsi="Arial"/>
              </w:rPr>
              <w:t>Payment Date(s):</w:t>
            </w:r>
          </w:p>
        </w:tc>
        <w:tc>
          <w:tcPr>
            <w:tcW w:w="6401" w:type="dxa"/>
            <w:tcBorders/>
          </w:tcPr>
          <w:p>
            <w:pPr>
              <w:pStyle w:val="Normal"/>
              <w:jc w:val="both"/>
              <w:rPr/>
            </w:pPr>
            <w:r>
              <w:rPr>
                <w:rFonts w:cs="Arial" w:ascii="Arial" w:hAnsi="Arial"/>
              </w:rPr>
              <w:t>The fifth Business Day after the Floating Amount for the Calculation Period is determinable,</w:t>
            </w:r>
            <w:r>
              <w:rPr>
                <w:rFonts w:cs="Arial" w:ascii="Arial" w:hAnsi="Arial"/>
                <w:b/>
              </w:rPr>
              <w:t xml:space="preserve"> provided, however,</w:t>
            </w:r>
            <w:r>
              <w:rPr>
                <w:rFonts w:cs="Arial" w:ascii="Arial" w:hAnsi="Arial"/>
              </w:rPr>
              <w:t xml:space="preserve"> that a one time adjustment in the amount paid will be made by the appropriate party, if applicable, if the Reporting Agency makes any correction or adjustment to the reported daily maximum and minimum temperatures for any Underlying Transaction within 95 days of the end of the Underlying Calculation Period for any day within the Underlying Calculation Period. </w:t>
            </w:r>
          </w:p>
        </w:tc>
      </w:tr>
      <w:tr>
        <w:trPr/>
        <w:tc>
          <w:tcPr>
            <w:tcW w:w="3153" w:type="dxa"/>
            <w:tcBorders/>
          </w:tcPr>
          <w:p>
            <w:pPr>
              <w:pStyle w:val="Normal"/>
              <w:jc w:val="both"/>
              <w:rPr>
                <w:rFonts w:ascii="Arial" w:hAnsi="Arial" w:cs="Arial"/>
              </w:rPr>
            </w:pPr>
            <w:r>
              <w:rPr>
                <w:rFonts w:cs="Arial" w:ascii="Arial" w:hAnsi="Arial"/>
              </w:rPr>
              <w:t>Fixed Amount Payer:</w:t>
            </w:r>
          </w:p>
        </w:tc>
        <w:tc>
          <w:tcPr>
            <w:tcW w:w="6401" w:type="dxa"/>
            <w:tcBorders/>
          </w:tcPr>
          <w:p>
            <w:pPr>
              <w:pStyle w:val="Normal"/>
              <w:jc w:val="both"/>
              <w:rPr>
                <w:rFonts w:ascii="Arial" w:hAnsi="Arial" w:cs="Arial"/>
              </w:rPr>
            </w:pPr>
            <w:r>
              <w:rPr>
                <w:rFonts w:cs="Arial" w:ascii="Arial" w:hAnsi="Arial"/>
              </w:rPr>
              <w:t>(a) Enron if the terms set forth on the Website relevant to the Transaction provide that Counterparty is 'Selling' and (b) Counterparty if the terms set forth on the Website relevant to the Transaction provide that Counterparty is 'Buying'.</w:t>
            </w:r>
          </w:p>
        </w:tc>
      </w:tr>
      <w:tr>
        <w:trPr/>
        <w:tc>
          <w:tcPr>
            <w:tcW w:w="3153" w:type="dxa"/>
            <w:tcBorders/>
          </w:tcPr>
          <w:p>
            <w:pPr>
              <w:pStyle w:val="Normal"/>
              <w:jc w:val="both"/>
              <w:rPr>
                <w:rFonts w:ascii="Arial" w:hAnsi="Arial" w:cs="Arial"/>
              </w:rPr>
            </w:pPr>
            <w:r>
              <w:rPr>
                <w:rFonts w:cs="Arial" w:ascii="Arial" w:hAnsi="Arial"/>
              </w:rPr>
              <w:t>Floating Amount Payer:</w:t>
            </w:r>
          </w:p>
        </w:tc>
        <w:tc>
          <w:tcPr>
            <w:tcW w:w="6401" w:type="dxa"/>
            <w:tcBorders/>
          </w:tcPr>
          <w:p>
            <w:pPr>
              <w:pStyle w:val="Normal"/>
              <w:jc w:val="both"/>
              <w:rPr>
                <w:rFonts w:ascii="Arial" w:hAnsi="Arial" w:cs="Arial"/>
              </w:rPr>
            </w:pPr>
            <w:r>
              <w:rPr>
                <w:rFonts w:cs="Arial" w:ascii="Arial" w:hAnsi="Arial"/>
              </w:rPr>
              <w:t>(a) Enron if the terms set forth on the Website relevant to the Transaction provide that Counterparty is 'Buying' and (b) Counterparty if the terms set forth on the Website relevant to the Transaction provide that Counterparty is 'Selling'.</w:t>
            </w:r>
          </w:p>
        </w:tc>
      </w:tr>
      <w:tr>
        <w:trPr/>
        <w:tc>
          <w:tcPr>
            <w:tcW w:w="3153" w:type="dxa"/>
            <w:tcBorders/>
          </w:tcPr>
          <w:p>
            <w:pPr>
              <w:pStyle w:val="Normal"/>
              <w:jc w:val="both"/>
              <w:rPr>
                <w:rFonts w:ascii="Arial" w:hAnsi="Arial" w:cs="Arial"/>
              </w:rPr>
            </w:pPr>
            <w:r>
              <w:rPr>
                <w:rFonts w:cs="Arial" w:ascii="Arial" w:hAnsi="Arial"/>
              </w:rPr>
              <w:t>Floating Amount:</w:t>
            </w:r>
          </w:p>
        </w:tc>
        <w:tc>
          <w:tcPr>
            <w:tcW w:w="6401" w:type="dxa"/>
            <w:tcBorders/>
          </w:tcPr>
          <w:p>
            <w:pPr>
              <w:pStyle w:val="Normal"/>
              <w:jc w:val="both"/>
              <w:rPr>
                <w:rFonts w:ascii="Arial" w:hAnsi="Arial" w:cs="Arial"/>
              </w:rPr>
            </w:pPr>
            <w:r>
              <w:rPr>
                <w:rFonts w:cs="Arial" w:ascii="Arial" w:hAnsi="Arial"/>
              </w:rPr>
              <w:t>The sum of the Payment Amounts calculated in accordance with the procedure detailed below, for each of the Underlying Transactions specified below.</w:t>
            </w:r>
          </w:p>
        </w:tc>
      </w:tr>
      <w:tr>
        <w:trPr/>
        <w:tc>
          <w:tcPr>
            <w:tcW w:w="3153" w:type="dxa"/>
            <w:tcBorders/>
          </w:tcPr>
          <w:p>
            <w:pPr>
              <w:pStyle w:val="Normal"/>
              <w:jc w:val="both"/>
              <w:rPr>
                <w:rFonts w:ascii="Arial" w:hAnsi="Arial" w:cs="Arial"/>
              </w:rPr>
            </w:pPr>
            <w:r>
              <w:rPr>
                <w:rFonts w:cs="Arial" w:ascii="Arial" w:hAnsi="Arial"/>
              </w:rPr>
              <w:t>Strike Amount Differential:</w:t>
            </w:r>
          </w:p>
        </w:tc>
        <w:tc>
          <w:tcPr>
            <w:tcW w:w="6401" w:type="dxa"/>
            <w:tcBorders/>
          </w:tcPr>
          <w:p>
            <w:pPr>
              <w:pStyle w:val="Normal"/>
              <w:jc w:val="both"/>
              <w:rPr>
                <w:rFonts w:ascii="Arial" w:hAnsi="Arial" w:cs="Arial"/>
              </w:rPr>
            </w:pPr>
            <w:r>
              <w:rPr>
                <w:rFonts w:cs="Arial" w:ascii="Arial" w:hAnsi="Arial"/>
              </w:rPr>
              <w:t>The amount equal to the difference between the (i) the Floating Amount minus (ii) the Strike Amount</w:t>
            </w:r>
          </w:p>
        </w:tc>
      </w:tr>
      <w:tr>
        <w:trPr/>
        <w:tc>
          <w:tcPr>
            <w:tcW w:w="3153" w:type="dxa"/>
            <w:tcBorders/>
          </w:tcPr>
          <w:p>
            <w:pPr>
              <w:pStyle w:val="Normal"/>
              <w:jc w:val="both"/>
              <w:rPr>
                <w:rFonts w:ascii="Arial" w:hAnsi="Arial" w:cs="Arial"/>
              </w:rPr>
            </w:pPr>
            <w:r>
              <w:rPr>
                <w:rFonts w:cs="Arial" w:ascii="Arial" w:hAnsi="Arial"/>
              </w:rPr>
              <w:t>Payment Amount:</w:t>
            </w:r>
          </w:p>
        </w:tc>
        <w:tc>
          <w:tcPr>
            <w:tcW w:w="6401" w:type="dxa"/>
            <w:tcBorders/>
          </w:tcPr>
          <w:p>
            <w:pPr>
              <w:pStyle w:val="Normal"/>
              <w:jc w:val="both"/>
              <w:rPr>
                <w:rFonts w:ascii="Arial" w:hAnsi="Arial" w:cs="Arial"/>
              </w:rPr>
            </w:pPr>
            <w:r>
              <w:rPr>
                <w:rFonts w:cs="Arial" w:ascii="Arial" w:hAnsi="Arial"/>
              </w:rPr>
              <w:t>Notwithstanding any provision of the Agreement to the contrary, if the Strike Amount Differential is a:</w:t>
            </w:r>
          </w:p>
          <w:p>
            <w:pPr>
              <w:pStyle w:val="Normal"/>
              <w:jc w:val="both"/>
              <w:rPr/>
            </w:pPr>
            <w:r>
              <w:rPr>
                <w:rFonts w:cs="Arial" w:ascii="Arial" w:hAnsi="Arial"/>
              </w:rPr>
              <w:t>(i) positive number, the Floating Amount Payer shall pay the Fixed Amount Payer an amount in the Contractual Currency</w:t>
            </w:r>
            <w:r>
              <w:rPr>
                <w:rFonts w:cs="Arial" w:ascii="Arial" w:hAnsi="Arial"/>
                <w:color w:val="FF0000"/>
              </w:rPr>
              <w:t xml:space="preserve"> </w:t>
            </w:r>
            <w:r>
              <w:rPr>
                <w:rFonts w:cs="Arial" w:ascii="Arial" w:hAnsi="Arial"/>
              </w:rPr>
              <w:t xml:space="preserve">equal to the product of (i) the Notional Amount and (ii) the Strike Amount Differential, which amount shall be due and payable on the applicable Payment Date, </w:t>
            </w:r>
            <w:r>
              <w:rPr>
                <w:rFonts w:cs="Arial" w:ascii="Arial" w:hAnsi="Arial"/>
                <w:b/>
              </w:rPr>
              <w:t>provided, however</w:t>
            </w:r>
            <w:r>
              <w:rPr>
                <w:rFonts w:cs="Arial" w:ascii="Arial" w:hAnsi="Arial"/>
              </w:rPr>
              <w:t>, that the maximum amount payable by the Floating Amount Payer shall not exceed Maximum Payout Limit,</w:t>
            </w:r>
            <w:r>
              <w:rPr>
                <w:rFonts w:cs="Arial" w:ascii="Arial" w:hAnsi="Arial"/>
                <w:color w:val="FF0000"/>
              </w:rPr>
              <w:t xml:space="preserve"> </w:t>
            </w:r>
            <w:r>
              <w:rPr>
                <w:rFonts w:cs="Arial" w:ascii="Arial" w:hAnsi="Arial"/>
              </w:rPr>
              <w:t xml:space="preserve">or </w:t>
            </w:r>
          </w:p>
          <w:p>
            <w:pPr>
              <w:pStyle w:val="Normal"/>
              <w:jc w:val="both"/>
              <w:rPr/>
            </w:pPr>
            <w:r>
              <w:rPr>
                <w:rFonts w:cs="Arial" w:ascii="Arial" w:hAnsi="Arial"/>
              </w:rPr>
              <w:t xml:space="preserve">(ii) negative number, the Fixed Amount Payer shall pay the Floating Amount Payer an amount in the Contractual Currency equal to the absolute value of the product of (i) the Notional Amount and (ii) the Strike Amount Differential, which amount shall be due and payable on the applicable Payment Date, </w:t>
            </w:r>
            <w:r>
              <w:rPr>
                <w:rFonts w:cs="Arial" w:ascii="Arial" w:hAnsi="Arial"/>
                <w:b/>
              </w:rPr>
              <w:t>provided, however</w:t>
            </w:r>
            <w:r>
              <w:rPr>
                <w:rFonts w:cs="Arial" w:ascii="Arial" w:hAnsi="Arial"/>
              </w:rPr>
              <w:t>, that the maximum amount payable by the Fixed Amount Payer shall not exceed Maximum Payout Limit.</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B.  Provisions relating to Underlying Transactions:</w:t>
      </w:r>
    </w:p>
    <w:p>
      <w:pPr>
        <w:pStyle w:val="Normal"/>
        <w:rPr>
          <w:rFonts w:ascii="Arial" w:hAnsi="Arial" w:cs="Arial"/>
          <w:b/>
          <w:bCs/>
        </w:rPr>
      </w:pPr>
      <w:r>
        <w:rPr>
          <w:rFonts w:cs="Arial" w:ascii="Arial" w:hAnsi="Arial"/>
          <w:b/>
          <w:bCs/>
        </w:rPr>
      </w:r>
    </w:p>
    <w:tbl>
      <w:tblPr>
        <w:tblW w:w="9720" w:type="dxa"/>
        <w:jc w:val="start"/>
        <w:tblInd w:w="-72" w:type="dxa"/>
        <w:tblLayout w:type="fixed"/>
        <w:tblCellMar>
          <w:top w:w="0" w:type="dxa"/>
          <w:start w:w="108" w:type="dxa"/>
          <w:bottom w:w="0" w:type="dxa"/>
          <w:end w:w="108" w:type="dxa"/>
        </w:tblCellMar>
      </w:tblPr>
      <w:tblGrid>
        <w:gridCol w:w="540"/>
        <w:gridCol w:w="1080"/>
        <w:gridCol w:w="1980"/>
        <w:gridCol w:w="720"/>
        <w:gridCol w:w="720"/>
        <w:gridCol w:w="900"/>
        <w:gridCol w:w="900"/>
        <w:gridCol w:w="900"/>
        <w:gridCol w:w="900"/>
        <w:gridCol w:w="1080"/>
      </w:tblGrid>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shd w:fill="E0E0E0" w:val="clear"/>
          </w:tcPr>
          <w:p>
            <w:pPr>
              <w:pStyle w:val="Heading2"/>
              <w:ind w:hanging="0" w:start="0"/>
              <w:rPr>
                <w:rFonts w:ascii="Arial" w:hAnsi="Arial" w:cs="Arial"/>
                <w:sz w:val="12"/>
              </w:rPr>
            </w:pPr>
            <w:r>
              <w:rPr>
                <w:rFonts w:cs="Arial" w:ascii="Arial" w:hAnsi="Arial"/>
                <w:sz w:val="12"/>
              </w:rPr>
              <w:t>Underlying Transaction</w:t>
            </w:r>
          </w:p>
        </w:tc>
        <w:tc>
          <w:tcPr>
            <w:tcW w:w="1980" w:type="dxa"/>
            <w:tcBorders>
              <w:top w:val="single" w:sz="4" w:space="0" w:color="000000"/>
              <w:start w:val="single" w:sz="4" w:space="0" w:color="000000"/>
              <w:bottom w:val="single" w:sz="4" w:space="0" w:color="000000"/>
              <w:end w:val="single" w:sz="4" w:space="0" w:color="000000"/>
            </w:tcBorders>
            <w:shd w:fill="E0E0E0" w:val="clear"/>
          </w:tcPr>
          <w:p>
            <w:pPr>
              <w:pStyle w:val="Normal"/>
              <w:rPr>
                <w:rFonts w:ascii="Arial" w:hAnsi="Arial" w:cs="Arial"/>
                <w:b/>
                <w:bCs/>
                <w:sz w:val="12"/>
              </w:rPr>
            </w:pPr>
            <w:r>
              <w:rPr>
                <w:rFonts w:cs="Arial" w:ascii="Arial" w:hAnsi="Arial"/>
                <w:b/>
                <w:bCs/>
                <w:sz w:val="12"/>
              </w:rPr>
              <w:t>Reference Weather Station followed by the Fallback Station</w:t>
            </w:r>
          </w:p>
        </w:tc>
        <w:tc>
          <w:tcPr>
            <w:tcW w:w="72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rFonts w:ascii="Arial" w:hAnsi="Arial" w:cs="Arial"/>
                <w:b/>
                <w:bCs/>
                <w:sz w:val="12"/>
              </w:rPr>
            </w:pPr>
            <w:r>
              <w:rPr>
                <w:rFonts w:cs="Arial" w:ascii="Arial" w:hAnsi="Arial"/>
                <w:b/>
                <w:bCs/>
                <w:sz w:val="12"/>
              </w:rPr>
              <w:t>Start (a)</w:t>
            </w:r>
          </w:p>
        </w:tc>
        <w:tc>
          <w:tcPr>
            <w:tcW w:w="72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rFonts w:ascii="Arial" w:hAnsi="Arial" w:cs="Arial"/>
                <w:b/>
                <w:bCs/>
                <w:sz w:val="12"/>
              </w:rPr>
            </w:pPr>
            <w:r>
              <w:rPr>
                <w:rFonts w:cs="Arial" w:ascii="Arial" w:hAnsi="Arial"/>
                <w:b/>
                <w:bCs/>
                <w:sz w:val="12"/>
              </w:rPr>
              <w:t>End (a)</w:t>
            </w:r>
          </w:p>
        </w:tc>
        <w:tc>
          <w:tcPr>
            <w:tcW w:w="90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rFonts w:ascii="Arial" w:hAnsi="Arial" w:cs="Arial"/>
                <w:b/>
                <w:bCs/>
                <w:sz w:val="12"/>
              </w:rPr>
            </w:pPr>
            <w:r>
              <w:rPr>
                <w:rFonts w:cs="Arial" w:ascii="Arial" w:hAnsi="Arial"/>
                <w:b/>
                <w:bCs/>
                <w:sz w:val="12"/>
              </w:rPr>
              <w:t>Reference Basis</w:t>
            </w:r>
          </w:p>
        </w:tc>
        <w:tc>
          <w:tcPr>
            <w:tcW w:w="90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rFonts w:ascii="Arial" w:hAnsi="Arial" w:cs="Arial"/>
                <w:b/>
                <w:bCs/>
                <w:sz w:val="12"/>
              </w:rPr>
            </w:pPr>
            <w:r>
              <w:rPr>
                <w:rFonts w:cs="Arial" w:ascii="Arial" w:hAnsi="Arial"/>
                <w:b/>
                <w:bCs/>
                <w:sz w:val="12"/>
              </w:rPr>
              <w:t>Notional Amount Per Degree Day</w:t>
            </w:r>
          </w:p>
        </w:tc>
        <w:tc>
          <w:tcPr>
            <w:tcW w:w="90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rFonts w:ascii="Arial" w:hAnsi="Arial" w:cs="Arial"/>
                <w:b/>
                <w:bCs/>
                <w:sz w:val="12"/>
              </w:rPr>
            </w:pPr>
            <w:r>
              <w:rPr>
                <w:rFonts w:cs="Arial" w:ascii="Arial" w:hAnsi="Arial"/>
                <w:b/>
                <w:bCs/>
                <w:sz w:val="12"/>
              </w:rPr>
              <w:t>Underlying Strike Amount</w:t>
            </w:r>
          </w:p>
        </w:tc>
        <w:tc>
          <w:tcPr>
            <w:tcW w:w="90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rFonts w:ascii="Arial" w:hAnsi="Arial" w:cs="Arial"/>
                <w:b/>
                <w:bCs/>
                <w:sz w:val="12"/>
              </w:rPr>
            </w:pPr>
            <w:r>
              <w:rPr>
                <w:rFonts w:cs="Arial" w:ascii="Arial" w:hAnsi="Arial"/>
                <w:b/>
                <w:bCs/>
                <w:sz w:val="12"/>
              </w:rPr>
              <w:t>Payment Limit</w:t>
            </w:r>
          </w:p>
        </w:tc>
        <w:tc>
          <w:tcPr>
            <w:tcW w:w="1080" w:type="dxa"/>
            <w:tcBorders>
              <w:top w:val="single" w:sz="4" w:space="0" w:color="000000"/>
              <w:start w:val="single" w:sz="4" w:space="0" w:color="000000"/>
              <w:bottom w:val="single" w:sz="4" w:space="0" w:color="000000"/>
              <w:end w:val="single" w:sz="4" w:space="0" w:color="000000"/>
            </w:tcBorders>
            <w:shd w:fill="E0E0E0" w:val="clear"/>
          </w:tcPr>
          <w:p>
            <w:pPr>
              <w:pStyle w:val="Normal"/>
              <w:jc w:val="center"/>
              <w:rPr>
                <w:rFonts w:ascii="Arial" w:hAnsi="Arial" w:cs="Arial"/>
                <w:b/>
                <w:bCs/>
                <w:sz w:val="12"/>
              </w:rPr>
            </w:pPr>
            <w:r>
              <w:rPr>
                <w:rFonts w:cs="Arial" w:ascii="Arial" w:hAnsi="Arial"/>
                <w:b/>
                <w:bCs/>
                <w:sz w:val="12"/>
              </w:rPr>
              <w:t>Floating Amount Payer (b)</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Baltimore, MD, BWI, WBAN 93721/</w:t>
            </w:r>
          </w:p>
          <w:p>
            <w:pPr>
              <w:pStyle w:val="Normal"/>
              <w:rPr>
                <w:rFonts w:ascii="Arial" w:hAnsi="Arial" w:cs="Arial"/>
                <w:sz w:val="12"/>
              </w:rPr>
            </w:pPr>
            <w:r>
              <w:rPr>
                <w:rFonts w:cs="Arial" w:ascii="Arial" w:hAnsi="Arial"/>
                <w:sz w:val="12"/>
              </w:rPr>
              <w:t>Washington DC, DC, WBAN 13743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3780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25,000</w:t>
            </w:r>
          </w:p>
        </w:tc>
        <w:tc>
          <w:tcPr>
            <w:tcW w:w="1080" w:type="dxa"/>
            <w:tcBorders>
              <w:top w:val="single" w:sz="4" w:space="0" w:color="000000"/>
              <w:start w:val="single" w:sz="4" w:space="0" w:color="000000"/>
              <w:bottom w:val="single" w:sz="4" w:space="0" w:color="000000"/>
              <w:end w:val="single" w:sz="4" w:space="0" w:color="000000"/>
            </w:tcBorders>
          </w:tcPr>
          <w:p>
            <w:pPr>
              <w:pStyle w:val="Heading3"/>
              <w:ind w:hanging="0" w:start="0"/>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New York, NY, LGA, WBAN 14732/</w:t>
            </w:r>
          </w:p>
          <w:p>
            <w:pPr>
              <w:pStyle w:val="Normal"/>
              <w:rPr>
                <w:rFonts w:ascii="Arial" w:hAnsi="Arial" w:cs="Arial"/>
                <w:sz w:val="12"/>
              </w:rPr>
            </w:pPr>
            <w:r>
              <w:rPr>
                <w:rFonts w:cs="Arial" w:ascii="Arial" w:hAnsi="Arial"/>
                <w:sz w:val="12"/>
              </w:rPr>
              <w:t>New York, NY, WBAN 94728</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3790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Columbus, OH, CMH, WBAN 14821/</w:t>
            </w:r>
          </w:p>
          <w:p>
            <w:pPr>
              <w:pStyle w:val="Normal"/>
              <w:rPr>
                <w:rFonts w:ascii="Arial" w:hAnsi="Arial" w:cs="Arial"/>
                <w:sz w:val="12"/>
              </w:rPr>
            </w:pPr>
            <w:r>
              <w:rPr>
                <w:rFonts w:cs="Arial" w:ascii="Arial" w:hAnsi="Arial"/>
                <w:sz w:val="12"/>
              </w:rPr>
              <w:t>Covington/Cincinnati, KY, WBAN 93814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4100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Milwaukee, WI, MKE, WBAN 14839/</w:t>
            </w:r>
          </w:p>
          <w:p>
            <w:pPr>
              <w:pStyle w:val="Normal"/>
              <w:rPr>
                <w:rFonts w:ascii="Arial" w:hAnsi="Arial" w:cs="Arial"/>
                <w:sz w:val="12"/>
              </w:rPr>
            </w:pPr>
            <w:r>
              <w:rPr>
                <w:rFonts w:cs="Arial" w:ascii="Arial" w:hAnsi="Arial"/>
                <w:sz w:val="12"/>
              </w:rPr>
              <w:t>Madison Dane County, WI, WBAN 14837</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5300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Sioux Falls, SD, FSD, WBAN 14944/</w:t>
            </w:r>
          </w:p>
          <w:p>
            <w:pPr>
              <w:pStyle w:val="Normal"/>
              <w:rPr>
                <w:rFonts w:ascii="Arial" w:hAnsi="Arial" w:cs="Arial"/>
                <w:sz w:val="12"/>
              </w:rPr>
            </w:pPr>
            <w:r>
              <w:rPr>
                <w:rFonts w:cs="Arial" w:ascii="Arial" w:hAnsi="Arial"/>
                <w:sz w:val="12"/>
              </w:rPr>
              <w:t>Sioux City, IA, WBAN 14943</w:t>
            </w:r>
          </w:p>
          <w:p>
            <w:pPr>
              <w:pStyle w:val="Normal"/>
              <w:rPr>
                <w:rFonts w:ascii="Arial" w:hAnsi="Arial" w:cs="Arial"/>
                <w:sz w:val="12"/>
              </w:rPr>
            </w:pPr>
            <w:r>
              <w:rPr>
                <w:rFonts w:cs="Arial" w:ascii="Arial" w:hAnsi="Arial"/>
                <w:sz w:val="12"/>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6100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eastAsia="Arial" w:cs="Arial" w:ascii="Arial" w:hAnsi="Arial"/>
                <w:sz w:val="12"/>
              </w:rPr>
              <w:t xml:space="preserve"> </w:t>
            </w:r>
            <w:r>
              <w:rPr>
                <w:rFonts w:cs="Arial" w:ascii="Arial" w:hAnsi="Arial"/>
                <w:sz w:val="12"/>
              </w:rPr>
              <w:t>ATHDD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Oklahoma City,OK, OKC, WBAN 13967/</w:t>
            </w:r>
          </w:p>
          <w:p>
            <w:pPr>
              <w:pStyle w:val="Normal"/>
              <w:rPr>
                <w:rFonts w:ascii="Arial" w:hAnsi="Arial" w:cs="Arial"/>
                <w:sz w:val="12"/>
              </w:rPr>
            </w:pPr>
            <w:r>
              <w:rPr>
                <w:rFonts w:cs="Arial" w:ascii="Arial" w:hAnsi="Arial"/>
                <w:sz w:val="12"/>
              </w:rPr>
              <w:t>Tulsa, OK, WBAN 13968</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ATHDD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Chicago, IL, ORD, WBAN 94846/</w:t>
            </w:r>
          </w:p>
          <w:p>
            <w:pPr>
              <w:pStyle w:val="Normal"/>
              <w:rPr>
                <w:rFonts w:ascii="Arial" w:hAnsi="Arial" w:cs="Arial"/>
                <w:sz w:val="12"/>
              </w:rPr>
            </w:pPr>
            <w:r>
              <w:rPr>
                <w:rFonts w:cs="Arial" w:ascii="Arial" w:hAnsi="Arial"/>
                <w:sz w:val="12"/>
              </w:rPr>
              <w:t>Chicago, IL, WBAN 14819</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12/31/01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Chicago, IL, ORD, WBAN 94846/</w:t>
            </w:r>
          </w:p>
          <w:p>
            <w:pPr>
              <w:pStyle w:val="Normal"/>
              <w:rPr>
                <w:rFonts w:ascii="Arial" w:hAnsi="Arial" w:cs="Arial"/>
                <w:sz w:val="12"/>
              </w:rPr>
            </w:pPr>
            <w:r>
              <w:rPr>
                <w:rFonts w:cs="Arial" w:ascii="Arial" w:hAnsi="Arial"/>
                <w:sz w:val="12"/>
              </w:rPr>
              <w:t>Chicago, IL, WBAN 14819</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5725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ATHDD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Indianapolis, IN, IND, WBAN 93819/</w:t>
            </w:r>
          </w:p>
          <w:p>
            <w:pPr>
              <w:pStyle w:val="Normal"/>
              <w:rPr>
                <w:rFonts w:ascii="Arial" w:hAnsi="Arial" w:cs="Arial"/>
                <w:sz w:val="12"/>
              </w:rPr>
            </w:pPr>
            <w:r>
              <w:rPr>
                <w:rFonts w:cs="Arial" w:ascii="Arial" w:hAnsi="Arial"/>
                <w:sz w:val="12"/>
              </w:rPr>
              <w:t>Louisville, KY, WBAN 93821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Put</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Sault Ste Marie, MI, CIU, WBAN 14847/</w:t>
            </w:r>
          </w:p>
          <w:p>
            <w:pPr>
              <w:pStyle w:val="Normal"/>
              <w:rPr>
                <w:rFonts w:ascii="Arial" w:hAnsi="Arial" w:cs="Arial"/>
                <w:sz w:val="12"/>
              </w:rPr>
            </w:pPr>
            <w:r>
              <w:rPr>
                <w:rFonts w:cs="Arial" w:ascii="Arial" w:hAnsi="Arial"/>
                <w:sz w:val="12"/>
              </w:rPr>
              <w:t>Pellston Emmet County, MI, WBAN 14841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Covington, KY, CVG, WBAN 93814/</w:t>
            </w:r>
          </w:p>
          <w:p>
            <w:pPr>
              <w:pStyle w:val="Normal"/>
              <w:rPr>
                <w:rFonts w:ascii="Arial" w:hAnsi="Arial" w:cs="Arial"/>
                <w:sz w:val="12"/>
              </w:rPr>
            </w:pPr>
            <w:r>
              <w:rPr>
                <w:rFonts w:cs="Arial" w:ascii="Arial" w:hAnsi="Arial"/>
                <w:sz w:val="12"/>
              </w:rPr>
              <w:t>Columbus, OH, WBAN 14821</w:t>
            </w:r>
          </w:p>
          <w:p>
            <w:pPr>
              <w:pStyle w:val="Normal"/>
              <w:rPr>
                <w:rFonts w:ascii="Arial" w:hAnsi="Arial" w:cs="Arial"/>
                <w:sz w:val="12"/>
              </w:rPr>
            </w:pPr>
            <w:r>
              <w:rPr>
                <w:rFonts w:cs="Arial" w:ascii="Arial" w:hAnsi="Arial"/>
                <w:sz w:val="12"/>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12/01/01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12/31/01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Portland, MN, PWM, WBAN 14764/</w:t>
            </w:r>
          </w:p>
          <w:p>
            <w:pPr>
              <w:pStyle w:val="Normal"/>
              <w:rPr>
                <w:rFonts w:ascii="Arial" w:hAnsi="Arial" w:cs="Arial"/>
                <w:sz w:val="12"/>
              </w:rPr>
            </w:pPr>
            <w:r>
              <w:rPr>
                <w:rFonts w:cs="Arial" w:ascii="Arial" w:hAnsi="Arial"/>
                <w:sz w:val="12"/>
              </w:rPr>
              <w:t>Augusta, MN, WBAN 14605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ATCDD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Oklahoma City, OK, OKC, WBAN 13967/</w:t>
            </w:r>
          </w:p>
          <w:p>
            <w:pPr>
              <w:pStyle w:val="Normal"/>
              <w:rPr>
                <w:rFonts w:ascii="Arial" w:hAnsi="Arial" w:cs="Arial"/>
                <w:sz w:val="12"/>
              </w:rPr>
            </w:pPr>
            <w:r>
              <w:rPr>
                <w:rFonts w:cs="Arial" w:ascii="Arial" w:hAnsi="Arial"/>
                <w:sz w:val="12"/>
              </w:rPr>
              <w:t>Tulsa, OK, WBAN 13968</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01/01/01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19375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Birmingham, AL, BMH, WBAN 13876/</w:t>
            </w:r>
          </w:p>
          <w:p>
            <w:pPr>
              <w:pStyle w:val="Normal"/>
              <w:rPr>
                <w:rFonts w:ascii="Arial" w:hAnsi="Arial" w:cs="Arial"/>
                <w:sz w:val="12"/>
              </w:rPr>
            </w:pPr>
            <w:r>
              <w:rPr>
                <w:rFonts w:cs="Arial" w:ascii="Arial" w:hAnsi="Arial"/>
                <w:sz w:val="12"/>
              </w:rPr>
              <w:t>Atlanta, GA, WBAN 13874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1550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Charlotte, NC, CLT, WBAN 13881/</w:t>
            </w:r>
          </w:p>
          <w:p>
            <w:pPr>
              <w:pStyle w:val="Normal"/>
              <w:rPr>
                <w:rFonts w:ascii="Arial" w:hAnsi="Arial" w:cs="Arial"/>
                <w:sz w:val="12"/>
              </w:rPr>
            </w:pPr>
            <w:r>
              <w:rPr>
                <w:rFonts w:cs="Arial" w:ascii="Arial" w:hAnsi="Arial"/>
                <w:sz w:val="12"/>
              </w:rPr>
              <w:t>Columbia, SC, WBAN 13883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Bismark, ND, BIS, WBAN 24011/</w:t>
            </w:r>
          </w:p>
          <w:p>
            <w:pPr>
              <w:pStyle w:val="Normal"/>
              <w:rPr>
                <w:rFonts w:ascii="Arial" w:hAnsi="Arial" w:cs="Arial"/>
                <w:sz w:val="12"/>
              </w:rPr>
            </w:pPr>
            <w:r>
              <w:rPr>
                <w:rFonts w:cs="Arial" w:ascii="Arial" w:hAnsi="Arial"/>
                <w:sz w:val="12"/>
              </w:rPr>
              <w:t>Fargo, ND, WBAN 14914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3,500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Cleveland, OH, CLE, WBAN 14820/</w:t>
            </w:r>
          </w:p>
          <w:p>
            <w:pPr>
              <w:pStyle w:val="Normal"/>
              <w:rPr>
                <w:rFonts w:ascii="Arial" w:hAnsi="Arial" w:cs="Arial"/>
                <w:sz w:val="12"/>
              </w:rPr>
            </w:pPr>
            <w:r>
              <w:rPr>
                <w:rFonts w:cs="Arial" w:ascii="Arial" w:hAnsi="Arial"/>
                <w:sz w:val="12"/>
              </w:rPr>
              <w:t>Akron-Canton, OH, WBAN 14895</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3,500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Covington, KY, CVG, WBAN 93814/</w:t>
            </w:r>
          </w:p>
          <w:p>
            <w:pPr>
              <w:pStyle w:val="Normal"/>
              <w:rPr>
                <w:rFonts w:ascii="Arial" w:hAnsi="Arial" w:cs="Arial"/>
                <w:sz w:val="12"/>
              </w:rPr>
            </w:pPr>
            <w:r>
              <w:rPr>
                <w:rFonts w:cs="Arial" w:ascii="Arial" w:hAnsi="Arial"/>
                <w:sz w:val="12"/>
              </w:rPr>
              <w:t>Columbus, OH, WBAN 14821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875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3,500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Green Bay, WI, GRB, WBAN 14898/</w:t>
            </w:r>
          </w:p>
          <w:p>
            <w:pPr>
              <w:pStyle w:val="Normal"/>
              <w:rPr>
                <w:rFonts w:ascii="Arial" w:hAnsi="Arial" w:cs="Arial"/>
                <w:sz w:val="12"/>
              </w:rPr>
            </w:pPr>
            <w:r>
              <w:rPr>
                <w:rFonts w:cs="Arial" w:ascii="Arial" w:hAnsi="Arial"/>
                <w:sz w:val="12"/>
              </w:rPr>
              <w:t>Wausau, WI, WBAN 14897</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375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Sault Ste Marie, MI, ANJ, WBAN 14847/</w:t>
            </w:r>
          </w:p>
          <w:p>
            <w:pPr>
              <w:pStyle w:val="Normal"/>
              <w:rPr>
                <w:rFonts w:ascii="Arial" w:hAnsi="Arial" w:cs="Arial"/>
                <w:sz w:val="12"/>
              </w:rPr>
            </w:pPr>
            <w:r>
              <w:rPr>
                <w:rFonts w:cs="Arial" w:ascii="Arial" w:hAnsi="Arial"/>
                <w:sz w:val="12"/>
              </w:rPr>
              <w:t>Pellston Emmet County, MI, WBAN 14841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ATCDD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San Francisco, CA, SFO, WBAN 23234/</w:t>
            </w:r>
          </w:p>
          <w:p>
            <w:pPr>
              <w:pStyle w:val="Normal"/>
              <w:rPr>
                <w:rFonts w:ascii="Arial" w:hAnsi="Arial" w:cs="Arial"/>
                <w:sz w:val="12"/>
              </w:rPr>
            </w:pPr>
            <w:r>
              <w:rPr>
                <w:rFonts w:cs="Arial" w:ascii="Arial" w:hAnsi="Arial"/>
                <w:sz w:val="12"/>
              </w:rPr>
              <w:t>Oakland, CA, WBAN 23230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09/30/01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1575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Seller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ATHDD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Philadelphia, PA, PHL, WBAN 13739/</w:t>
            </w:r>
          </w:p>
          <w:p>
            <w:pPr>
              <w:pStyle w:val="Normal"/>
              <w:rPr>
                <w:rFonts w:ascii="Arial" w:hAnsi="Arial" w:cs="Arial"/>
                <w:sz w:val="12"/>
              </w:rPr>
            </w:pPr>
            <w:r>
              <w:rPr>
                <w:rFonts w:cs="Arial" w:ascii="Arial" w:hAnsi="Arial"/>
                <w:sz w:val="12"/>
              </w:rPr>
              <w:t>Allentown, PA, WBAN 14737</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12/31/00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Oklahoma City, OK, OKC, WBAN 13967/</w:t>
            </w:r>
          </w:p>
          <w:p>
            <w:pPr>
              <w:pStyle w:val="Normal"/>
              <w:rPr>
                <w:rFonts w:ascii="Arial" w:hAnsi="Arial" w:cs="Arial"/>
                <w:sz w:val="12"/>
              </w:rPr>
            </w:pPr>
            <w:r>
              <w:rPr>
                <w:rFonts w:cs="Arial" w:ascii="Arial" w:hAnsi="Arial"/>
                <w:sz w:val="12"/>
              </w:rPr>
              <w:t>Tulsa, OK, WBAN 13968</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12/31/00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1250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3,000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ATHDD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Tampa, FL, TPA, WBAN 12842/</w:t>
            </w:r>
          </w:p>
          <w:p>
            <w:pPr>
              <w:pStyle w:val="Normal"/>
              <w:rPr>
                <w:rFonts w:ascii="Arial" w:hAnsi="Arial" w:cs="Arial"/>
                <w:sz w:val="12"/>
              </w:rPr>
            </w:pPr>
            <w:r>
              <w:rPr>
                <w:rFonts w:cs="Arial" w:ascii="Arial" w:hAnsi="Arial"/>
                <w:sz w:val="12"/>
              </w:rPr>
              <w:t>Orlando, FL, WBAN 12815</w:t>
            </w:r>
          </w:p>
        </w:tc>
        <w:tc>
          <w:tcPr>
            <w:tcW w:w="720" w:type="dxa"/>
            <w:tcBorders>
              <w:top w:val="single" w:sz="4" w:space="0" w:color="000000"/>
              <w:start w:val="single" w:sz="4" w:space="0" w:color="000000"/>
              <w:bottom w:val="single" w:sz="4" w:space="0" w:color="000000"/>
              <w:end w:val="single" w:sz="4" w:space="0" w:color="000000"/>
            </w:tcBorders>
          </w:tcPr>
          <w:p>
            <w:pPr>
              <w:pStyle w:val="z-TopofForm"/>
              <w:pBdr>
                <w:bottom w:val="nil"/>
              </w:pBdr>
              <w:rPr>
                <w:rFonts w:cs="Arial"/>
                <w:vanish w:val="false"/>
                <w:sz w:val="12"/>
              </w:rPr>
            </w:pPr>
            <w:r>
              <w:rPr>
                <w:rFonts w:cs="Arial"/>
                <w:vanish w:val="false"/>
                <w:sz w:val="12"/>
              </w:rPr>
              <w:t>12/01/00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02/28/01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2,000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Sioux Falls, ND, FSD, WBAN 14944/</w:t>
            </w:r>
          </w:p>
          <w:p>
            <w:pPr>
              <w:pStyle w:val="Normal"/>
              <w:rPr>
                <w:rFonts w:ascii="Arial" w:hAnsi="Arial" w:cs="Arial"/>
                <w:sz w:val="12"/>
              </w:rPr>
            </w:pPr>
            <w:r>
              <w:rPr>
                <w:rFonts w:cs="Arial" w:ascii="Arial" w:hAnsi="Arial"/>
                <w:sz w:val="12"/>
              </w:rPr>
              <w:t>Sioux City, IA, WBAN 14943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06/01/01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08/31/01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585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ATCDD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Sioux Falls, ND, FSD, WBAN 14944/</w:t>
            </w:r>
          </w:p>
          <w:p>
            <w:pPr>
              <w:pStyle w:val="Normal"/>
              <w:rPr>
                <w:rFonts w:ascii="Arial" w:hAnsi="Arial" w:cs="Arial"/>
                <w:sz w:val="12"/>
              </w:rPr>
            </w:pPr>
            <w:r>
              <w:rPr>
                <w:rFonts w:cs="Arial" w:ascii="Arial" w:hAnsi="Arial"/>
                <w:sz w:val="12"/>
              </w:rPr>
              <w:t>Sioux City, IA, WBAN 14943</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06/15/01</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07/31/01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75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90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ATCDD Call</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Columbus, OH, CMH, WBAN 14821/</w:t>
            </w:r>
          </w:p>
          <w:p>
            <w:pPr>
              <w:pStyle w:val="Normal"/>
              <w:rPr>
                <w:rFonts w:ascii="Arial" w:hAnsi="Arial" w:cs="Arial"/>
                <w:sz w:val="12"/>
              </w:rPr>
            </w:pPr>
            <w:r>
              <w:rPr>
                <w:rFonts w:cs="Arial" w:ascii="Arial" w:hAnsi="Arial"/>
                <w:sz w:val="12"/>
              </w:rPr>
              <w:t>Covington/Cincinnati, KY, WBAN 93814</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07/08/01(c)</w:t>
            </w:r>
          </w:p>
        </w:tc>
        <w:tc>
          <w:tcPr>
            <w:tcW w:w="7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 w:leader="none"/>
              </w:tabs>
              <w:ind w:start="-108" w:end="-18"/>
              <w:jc w:val="center"/>
              <w:rPr>
                <w:rFonts w:ascii="Arial" w:hAnsi="Arial" w:cs="Arial"/>
                <w:sz w:val="12"/>
              </w:rPr>
            </w:pPr>
            <w:r>
              <w:rPr>
                <w:rFonts w:cs="Arial" w:ascii="Arial" w:hAnsi="Arial"/>
                <w:sz w:val="12"/>
              </w:rPr>
              <w:t>08/31/01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80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12</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5,000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r>
        <w:trPr/>
        <w:tc>
          <w:tcPr>
            <w:tcW w:w="540" w:type="dxa"/>
            <w:tcBorders>
              <w:top w:val="single" w:sz="4" w:space="0" w:color="000000"/>
              <w:start w:val="single" w:sz="4" w:space="0" w:color="000000"/>
              <w:bottom w:val="single" w:sz="4" w:space="0" w:color="000000"/>
              <w:end w:val="single" w:sz="4" w:space="0" w:color="000000"/>
            </w:tcBorders>
            <w:shd w:fill="E0E0E0" w:val="clear"/>
          </w:tcPr>
          <w:p>
            <w:pPr>
              <w:pStyle w:val="Normal"/>
              <w:numPr>
                <w:ilvl w:val="0"/>
                <w:numId w:val="2"/>
              </w:numPr>
              <w:snapToGrid w:val="false"/>
              <w:rPr>
                <w:rFonts w:ascii="Arial" w:hAnsi="Arial" w:cs="Arial"/>
                <w:b/>
                <w:bCs/>
                <w:sz w:val="12"/>
              </w:rPr>
            </w:pPr>
            <w:r>
              <w:rPr>
                <w:rFonts w:cs="Arial" w:ascii="Arial" w:hAnsi="Arial"/>
                <w:b/>
                <w:bCs/>
                <w:sz w:val="12"/>
              </w:rPr>
            </w:r>
          </w:p>
        </w:tc>
        <w:tc>
          <w:tcPr>
            <w:tcW w:w="10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HDD Swap</w:t>
            </w:r>
          </w:p>
        </w:tc>
        <w:tc>
          <w:tcPr>
            <w:tcW w:w="198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2"/>
              </w:rPr>
            </w:pPr>
            <w:r>
              <w:rPr>
                <w:rFonts w:cs="Arial" w:ascii="Arial" w:hAnsi="Arial"/>
                <w:sz w:val="12"/>
              </w:rPr>
              <w:t>San Francisco, CA SFO, WBAN 23234/</w:t>
            </w:r>
          </w:p>
          <w:p>
            <w:pPr>
              <w:pStyle w:val="Normal"/>
              <w:rPr>
                <w:rFonts w:ascii="Arial" w:hAnsi="Arial" w:cs="Arial"/>
                <w:sz w:val="12"/>
              </w:rPr>
            </w:pPr>
            <w:r>
              <w:rPr>
                <w:rFonts w:cs="Arial" w:ascii="Arial" w:hAnsi="Arial"/>
                <w:sz w:val="12"/>
              </w:rPr>
              <w:t>Oakland, CA, WBAN 23230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11/01/00</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03/31/01</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65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10</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1875</w:t>
            </w:r>
          </w:p>
        </w:tc>
        <w:tc>
          <w:tcPr>
            <w:tcW w:w="9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4,000</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12"/>
              </w:rPr>
            </w:pPr>
            <w:r>
              <w:rPr>
                <w:rFonts w:cs="Arial" w:ascii="Arial" w:hAnsi="Arial"/>
                <w:sz w:val="12"/>
              </w:rPr>
              <w:t>Buyer</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2"/>
        <w:rPr/>
      </w:pPr>
      <w:r>
        <w:rPr/>
        <w:t>(a) The Underlying Calculation Period shall begin on the Start date and end on the End date inclusive.</w:t>
      </w:r>
    </w:p>
    <w:p>
      <w:pPr>
        <w:pStyle w:val="Normal"/>
        <w:jc w:val="both"/>
        <w:rPr>
          <w:rFonts w:ascii="Arial" w:hAnsi="Arial" w:cs="Arial"/>
        </w:rPr>
      </w:pPr>
      <w:r>
        <w:rPr>
          <w:rFonts w:cs="Arial" w:ascii="Arial" w:hAnsi="Arial"/>
        </w:rPr>
        <w:t xml:space="preserve">(b) If a party is not the Floating Amount Payer it shall be the Fixed Amount Payer.  </w:t>
      </w:r>
    </w:p>
    <w:p>
      <w:pPr>
        <w:pStyle w:val="Normal"/>
        <w:jc w:val="both"/>
        <w:rPr>
          <w:rFonts w:ascii="Arial" w:hAnsi="Arial" w:cs="Arial"/>
        </w:rPr>
      </w:pPr>
      <w:r>
        <w:rPr>
          <w:rFonts w:cs="Arial" w:ascii="Arial" w:hAnsi="Arial"/>
        </w:rPr>
        <w:t>(c) ATCDD’s are calculated during Weekdays only.</w:t>
      </w:r>
    </w:p>
    <w:p>
      <w:pPr>
        <w:pStyle w:val="Normal"/>
        <w:jc w:val="both"/>
        <w:rPr>
          <w:rFonts w:ascii="Arial" w:hAnsi="Arial" w:cs="Arial"/>
        </w:rPr>
      </w:pPr>
      <w:r>
        <w:rPr>
          <w:rFonts w:cs="Arial" w:ascii="Arial" w:hAnsi="Arial"/>
        </w:rPr>
      </w:r>
    </w:p>
    <w:tbl>
      <w:tblPr>
        <w:tblW w:w="9554" w:type="dxa"/>
        <w:jc w:val="start"/>
        <w:tblInd w:w="105" w:type="dxa"/>
        <w:tblLayout w:type="fixed"/>
        <w:tblCellMar>
          <w:top w:w="0" w:type="dxa"/>
          <w:start w:w="105" w:type="dxa"/>
          <w:bottom w:w="0" w:type="dxa"/>
          <w:end w:w="105" w:type="dxa"/>
        </w:tblCellMar>
      </w:tblPr>
      <w:tblGrid>
        <w:gridCol w:w="3153"/>
        <w:gridCol w:w="6401"/>
      </w:tblGrid>
      <w:tr>
        <w:trPr/>
        <w:tc>
          <w:tcPr>
            <w:tcW w:w="3153" w:type="dxa"/>
            <w:tcBorders/>
          </w:tcPr>
          <w:p>
            <w:pPr>
              <w:pStyle w:val="Normal"/>
              <w:jc w:val="both"/>
              <w:rPr>
                <w:rFonts w:ascii="Arial" w:hAnsi="Arial" w:cs="Arial"/>
              </w:rPr>
            </w:pPr>
            <w:r>
              <w:rPr>
                <w:rFonts w:cs="Arial" w:ascii="Arial" w:hAnsi="Arial"/>
              </w:rPr>
              <w:t>Underlying Floating Amount:</w:t>
            </w:r>
          </w:p>
        </w:tc>
        <w:tc>
          <w:tcPr>
            <w:tcW w:w="6401" w:type="dxa"/>
            <w:tcBorders/>
          </w:tcPr>
          <w:p>
            <w:pPr>
              <w:pStyle w:val="Normal"/>
              <w:jc w:val="both"/>
              <w:rPr>
                <w:rFonts w:ascii="Arial" w:hAnsi="Arial" w:cs="Arial"/>
              </w:rPr>
            </w:pPr>
            <w:r>
              <w:rPr>
                <w:rFonts w:cs="Arial" w:ascii="Arial" w:hAnsi="Arial"/>
              </w:rPr>
              <w:t>The sum of CDD’s, HDD’s, ATCDD’s or ATHDD’s, as applicable, calculated in accordance with the procedure detailed below, for each day during the applicable Underlying Calculation Period.</w:t>
            </w:r>
          </w:p>
          <w:p>
            <w:pPr>
              <w:pStyle w:val="Normal"/>
              <w:jc w:val="both"/>
              <w:rPr>
                <w:rFonts w:ascii="Arial" w:hAnsi="Arial" w:cs="Arial"/>
              </w:rPr>
            </w:pPr>
            <w:r>
              <w:rPr>
                <w:rFonts w:cs="Arial" w:ascii="Arial" w:hAnsi="Arial"/>
              </w:rPr>
              <w:t xml:space="preserve">HDD or ATHDD for each day is equal to the greater of (i) the Reference Basis minus the non-rounded average of the daily maximum and daily minimum temperatures in degrees Fahrenheit from and including 12:01 AM on that day to and including 12:00 AM on the next day local time as measured by Reporting Service, and reported by the Reporting Agency, for the Reference Weather Station or (ii) zero. </w:t>
            </w:r>
          </w:p>
          <w:p>
            <w:pPr>
              <w:pStyle w:val="Normal"/>
              <w:jc w:val="both"/>
              <w:rPr>
                <w:rFonts w:ascii="Arial" w:hAnsi="Arial" w:cs="Arial"/>
              </w:rPr>
            </w:pPr>
            <w:r>
              <w:rPr>
                <w:rFonts w:cs="Arial" w:ascii="Arial" w:hAnsi="Arial"/>
              </w:rPr>
              <w:t>CDD or ATCDD for each day is equal to the greater of (i) the non-rounded average of the daily maximum and daily minimum temperatures in degrees Fahrenheit from and including 12:01 AM on that day to and including 12:00 AM on the next day local time as measured by the Reporting Service, and reported by the Reporting Agency, for the Reference Weather Station minus the Reference Basis or (ii) zero.  The daily high and low temperatures measured by the Reporting Service and reported by the Reporting Agency shall be rounded to whole numbers prior to the calculation of HDD’s, ATHDD’s, CDD’s or ATCDD’s using the Rounding Convention.</w:t>
            </w:r>
          </w:p>
          <w:p>
            <w:pPr>
              <w:pStyle w:val="Normal"/>
              <w:jc w:val="both"/>
              <w:rPr>
                <w:rFonts w:ascii="Arial" w:hAnsi="Arial" w:cs="Arial"/>
                <w:b/>
                <w:bCs/>
              </w:rPr>
            </w:pPr>
            <w:r>
              <w:rPr>
                <w:rFonts w:cs="Arial" w:ascii="Arial" w:hAnsi="Arial"/>
              </w:rPr>
              <w:t>The Reporting Service shall be (i) if the Reference Weather Station is in the United States, the National Weather Service ("NWS"), the division of the National Oceanic and Atmospheric Administration responsible for providing weather and flood warnings, public forecasts and advisories for all of the United States, its territories, adjacent waters and ocean areas, or its successor organization</w:t>
            </w:r>
          </w:p>
          <w:p>
            <w:pPr>
              <w:pStyle w:val="BodyText"/>
              <w:rPr>
                <w:sz w:val="24"/>
              </w:rPr>
            </w:pPr>
            <w:r>
              <w:rPr>
                <w:sz w:val="24"/>
              </w:rPr>
              <w:t xml:space="preserve">The Reporting Agency shall be the National Climatic Data Center, a unit of the National Oceanic and Atmospheric Administration Center, or its successor organization, which reports temperature information by the NWS. </w:t>
            </w:r>
          </w:p>
          <w:p>
            <w:pPr>
              <w:pStyle w:val="BodyText"/>
              <w:rPr>
                <w:sz w:val="24"/>
              </w:rPr>
            </w:pPr>
            <w:r>
              <w:rPr>
                <w:sz w:val="24"/>
              </w:rPr>
              <w:t xml:space="preserve">The "Rounding Convention", degrees shall be rounded to whole numbers where if the first number after the decimal point is five (5) or greater then the whole number shall be increased by one (1), and if the first number after the decimal point is less than five (5) then the whole number shall remain unchanged </w:t>
            </w:r>
          </w:p>
          <w:p>
            <w:pPr>
              <w:pStyle w:val="Normal"/>
              <w:jc w:val="both"/>
              <w:rPr>
                <w:rFonts w:ascii="Arial" w:hAnsi="Arial" w:cs="Arial"/>
                <w:sz w:val="24"/>
              </w:rPr>
            </w:pPr>
            <w:r>
              <w:rPr>
                <w:rFonts w:cs="Arial" w:ascii="Arial" w:hAnsi="Arial"/>
                <w:sz w:val="24"/>
              </w:rPr>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540" w:type="dxa"/>
        <w:jc w:val="start"/>
        <w:tblInd w:w="108" w:type="dxa"/>
        <w:tblLayout w:type="fixed"/>
        <w:tblCellMar>
          <w:top w:w="0" w:type="dxa"/>
          <w:start w:w="108" w:type="dxa"/>
          <w:bottom w:w="0" w:type="dxa"/>
          <w:end w:w="108" w:type="dxa"/>
        </w:tblCellMar>
      </w:tblPr>
      <w:tblGrid>
        <w:gridCol w:w="3150"/>
        <w:gridCol w:w="6390"/>
      </w:tblGrid>
      <w:tr>
        <w:trPr/>
        <w:tc>
          <w:tcPr>
            <w:tcW w:w="3150" w:type="dxa"/>
            <w:tcBorders/>
          </w:tcPr>
          <w:p>
            <w:pPr>
              <w:pStyle w:val="Normal"/>
              <w:jc w:val="both"/>
              <w:rPr>
                <w:rFonts w:ascii="Arial" w:hAnsi="Arial" w:cs="Arial"/>
              </w:rPr>
            </w:pPr>
            <w:r>
              <w:rPr>
                <w:rFonts w:cs="Arial" w:ascii="Arial" w:hAnsi="Arial"/>
              </w:rPr>
              <w:t>Second Fallback Station:</w:t>
            </w:r>
          </w:p>
        </w:tc>
        <w:tc>
          <w:tcPr>
            <w:tcW w:w="6390" w:type="dxa"/>
            <w:tcBorders/>
          </w:tcPr>
          <w:p>
            <w:pPr>
              <w:pStyle w:val="Normal"/>
              <w:tabs>
                <w:tab w:val="clear" w:pos="720"/>
                <w:tab w:val="left" w:pos="72" w:leader="none"/>
              </w:tabs>
              <w:ind w:hanging="18" w:start="72" w:end="0"/>
              <w:jc w:val="both"/>
              <w:rPr/>
            </w:pPr>
            <w:r>
              <w:rPr>
                <w:rFonts w:cs="Arial" w:ascii="Arial" w:hAnsi="Arial"/>
              </w:rPr>
              <w:t>In the event the Fallback Station cannot be utilized to produce the necessary Adjustment, the Adjustment shall be calculated from a mutually agreeable location that publishes official data for both the Calculation Period and the relevant adjustment period  (which numbers as reported by the NCDC shall not be rounded by the parties). This Station shall be identified explicitly by a WBAN number (or other identifying reference) and shall be used as the secondary method for making the Adjustment calculation(s).</w:t>
            </w:r>
          </w:p>
        </w:tc>
      </w:tr>
      <w:tr>
        <w:trPr/>
        <w:tc>
          <w:tcPr>
            <w:tcW w:w="3150" w:type="dxa"/>
            <w:tcBorders/>
          </w:tcPr>
          <w:p>
            <w:pPr>
              <w:pStyle w:val="Normal"/>
              <w:snapToGrid w:val="false"/>
              <w:jc w:val="both"/>
              <w:rPr>
                <w:rFonts w:ascii="Arial" w:hAnsi="Arial" w:cs="Arial"/>
              </w:rPr>
            </w:pPr>
            <w:r>
              <w:rPr>
                <w:rFonts w:cs="Arial" w:ascii="Arial" w:hAnsi="Arial"/>
              </w:rPr>
            </w:r>
          </w:p>
        </w:tc>
        <w:tc>
          <w:tcPr>
            <w:tcW w:w="6390" w:type="dxa"/>
            <w:tcBorders/>
          </w:tcPr>
          <w:p>
            <w:pPr>
              <w:pStyle w:val="Normal"/>
              <w:tabs>
                <w:tab w:val="clear" w:pos="720"/>
                <w:tab w:val="left" w:pos="72" w:leader="none"/>
              </w:tabs>
              <w:snapToGrid w:val="false"/>
              <w:ind w:hanging="18" w:start="72" w:end="0"/>
              <w:jc w:val="both"/>
              <w:rPr>
                <w:rFonts w:ascii="Arial" w:hAnsi="Arial" w:cs="Arial"/>
              </w:rPr>
            </w:pPr>
            <w:r>
              <w:rPr>
                <w:rFonts w:cs="Arial" w:ascii="Arial" w:hAnsi="Arial"/>
              </w:rPr>
            </w:r>
          </w:p>
        </w:tc>
      </w:tr>
      <w:tr>
        <w:trPr/>
        <w:tc>
          <w:tcPr>
            <w:tcW w:w="3150" w:type="dxa"/>
            <w:tcBorders/>
          </w:tcPr>
          <w:p>
            <w:pPr>
              <w:pStyle w:val="Normal"/>
              <w:jc w:val="both"/>
              <w:rPr>
                <w:rFonts w:ascii="Arial" w:hAnsi="Arial" w:cs="Arial"/>
              </w:rPr>
            </w:pPr>
            <w:r>
              <w:rPr>
                <w:rFonts w:cs="Arial" w:ascii="Arial" w:hAnsi="Arial"/>
              </w:rPr>
              <w:t>Fallback Methodology:</w:t>
            </w:r>
          </w:p>
        </w:tc>
        <w:tc>
          <w:tcPr>
            <w:tcW w:w="6390" w:type="dxa"/>
            <w:tcBorders/>
          </w:tcPr>
          <w:p>
            <w:pPr>
              <w:pStyle w:val="BodyTextIndent3"/>
              <w:rPr>
                <w:rFonts w:ascii="Arial" w:hAnsi="Arial" w:cs="Arial"/>
                <w:color w:val="000000"/>
                <w:sz w:val="24"/>
              </w:rPr>
            </w:pPr>
            <w:r>
              <w:rPr>
                <w:rFonts w:cs="Arial" w:ascii="Arial" w:hAnsi="Arial"/>
                <w:color w:val="000000"/>
                <w:sz w:val="24"/>
              </w:rPr>
              <w:t xml:space="preserve">The Fallback Methodology is to be employed if on any day during the Calculation Period official data for the Reference Weather Station is unavailable. Amendments made to data as a result of editing, quality control, changes in location, and/or instrumentation implemented by the relevant reporting agency shall not warrant employment of the Fallback Methodology. </w:t>
            </w:r>
          </w:p>
          <w:p>
            <w:pPr>
              <w:pStyle w:val="Normal"/>
              <w:tabs>
                <w:tab w:val="clear" w:pos="720"/>
                <w:tab w:val="left" w:pos="3780" w:leader="none"/>
              </w:tabs>
              <w:ind w:hanging="720" w:start="1440" w:end="0"/>
              <w:jc w:val="both"/>
              <w:rPr>
                <w:rFonts w:ascii="Arial" w:hAnsi="Arial" w:cs="Arial"/>
                <w:color w:val="000000"/>
                <w:sz w:val="24"/>
              </w:rPr>
            </w:pPr>
            <w:r>
              <w:rPr>
                <w:rFonts w:cs="Arial" w:ascii="Arial" w:hAnsi="Arial"/>
                <w:color w:val="000000"/>
                <w:sz w:val="24"/>
              </w:rPr>
            </w:r>
          </w:p>
          <w:p>
            <w:pPr>
              <w:pStyle w:val="Normal"/>
              <w:jc w:val="both"/>
              <w:rPr>
                <w:rFonts w:ascii="Arial" w:hAnsi="Arial" w:cs="Arial"/>
              </w:rPr>
            </w:pPr>
            <w:r>
              <w:rPr>
                <w:rFonts w:cs="Arial" w:ascii="Arial" w:hAnsi="Arial"/>
              </w:rPr>
              <w:t>(i)</w:t>
              <w:tab/>
              <w:t>Defined Terms:</w:t>
            </w:r>
          </w:p>
          <w:p>
            <w:pPr>
              <w:pStyle w:val="Normal"/>
              <w:tabs>
                <w:tab w:val="clear" w:pos="720"/>
                <w:tab w:val="left" w:pos="3780" w:leader="none"/>
              </w:tabs>
              <w:jc w:val="both"/>
              <w:rPr>
                <w:rFonts w:ascii="Arial" w:hAnsi="Arial" w:cs="Arial"/>
              </w:rPr>
            </w:pPr>
            <w:r>
              <w:rPr>
                <w:rFonts w:cs="Arial" w:ascii="Arial" w:hAnsi="Arial"/>
              </w:rPr>
            </w:r>
          </w:p>
          <w:p>
            <w:pPr>
              <w:pStyle w:val="Normal"/>
              <w:ind w:start="432" w:end="0"/>
              <w:jc w:val="both"/>
              <w:rPr/>
            </w:pPr>
            <w:r>
              <w:rPr>
                <w:rFonts w:cs="Arial" w:ascii="Arial" w:hAnsi="Arial"/>
                <w:b/>
              </w:rPr>
              <w:t>“</w:t>
            </w:r>
            <w:r>
              <w:rPr>
                <w:rFonts w:cs="Arial" w:ascii="Arial" w:hAnsi="Arial"/>
                <w:b/>
              </w:rPr>
              <w:t>Adjustment”</w:t>
            </w:r>
            <w:r>
              <w:rPr>
                <w:rFonts w:cs="Arial" w:ascii="Arial" w:hAnsi="Arial"/>
              </w:rPr>
              <w:t xml:space="preserve"> means the mean of the arithmetic difference (rounded to two decimal places) of the </w:t>
            </w:r>
            <w:r>
              <w:rPr>
                <w:rFonts w:cs="Arial" w:ascii="Arial" w:hAnsi="Arial"/>
                <w:b/>
              </w:rPr>
              <w:t>daily maximum temperature</w:t>
            </w:r>
            <w:r>
              <w:rPr>
                <w:rFonts w:cs="Arial" w:ascii="Arial" w:hAnsi="Arial"/>
              </w:rPr>
              <w:t xml:space="preserve"> (if the unavailable temperature is a daily maximum) and/or the </w:t>
            </w:r>
            <w:r>
              <w:rPr>
                <w:rFonts w:cs="Arial" w:ascii="Arial" w:hAnsi="Arial"/>
                <w:b/>
              </w:rPr>
              <w:t xml:space="preserve">daily minimum temperature </w:t>
            </w:r>
            <w:r>
              <w:rPr>
                <w:rFonts w:cs="Arial" w:ascii="Arial" w:hAnsi="Arial"/>
              </w:rPr>
              <w:t xml:space="preserve">(if the unavailable temperature is a daily minimum) at the Fallback Station subtracted from the relevant temperature at the Reference Weather Station during the adjustment period. </w:t>
            </w:r>
          </w:p>
          <w:p>
            <w:pPr>
              <w:pStyle w:val="Normal"/>
              <w:tabs>
                <w:tab w:val="clear" w:pos="720"/>
                <w:tab w:val="left" w:pos="3780" w:leader="none"/>
              </w:tabs>
              <w:ind w:start="432" w:end="0"/>
              <w:jc w:val="both"/>
              <w:rPr>
                <w:rFonts w:ascii="Arial" w:hAnsi="Arial" w:cs="Arial"/>
                <w:b/>
              </w:rPr>
            </w:pPr>
            <w:r>
              <w:rPr>
                <w:rFonts w:cs="Arial" w:ascii="Arial" w:hAnsi="Arial"/>
                <w:b/>
              </w:rPr>
            </w:r>
          </w:p>
          <w:p>
            <w:pPr>
              <w:pStyle w:val="Normal"/>
              <w:ind w:start="432" w:end="0"/>
              <w:jc w:val="both"/>
              <w:rPr/>
            </w:pPr>
            <w:r>
              <w:rPr>
                <w:rFonts w:cs="Arial" w:ascii="Arial" w:hAnsi="Arial"/>
              </w:rPr>
              <w:t xml:space="preserve">The Rounding Methodology for the daily reported </w:t>
            </w:r>
            <w:r>
              <w:rPr>
                <w:rFonts w:cs="Arial" w:ascii="Arial" w:hAnsi="Arial"/>
                <w:b/>
              </w:rPr>
              <w:t>minimum or maximum temperature</w:t>
            </w:r>
            <w:r>
              <w:rPr>
                <w:rFonts w:cs="Arial" w:ascii="Arial" w:hAnsi="Arial"/>
              </w:rPr>
              <w:t xml:space="preserve">, as the case may be, shall be rounded to whole numbers where if the first number after the decimal point is five (5) or greater then the whole number shall be increased by one (1), and if the first number after the decimal point is less than five (5) then the whole number shall remain unchanged. The following rounding convention will apply to the </w:t>
            </w:r>
            <w:r>
              <w:rPr>
                <w:rFonts w:cs="Arial" w:ascii="Arial" w:hAnsi="Arial"/>
                <w:b/>
              </w:rPr>
              <w:t>Adjustment</w:t>
            </w:r>
            <w:r>
              <w:rPr>
                <w:rFonts w:cs="Arial" w:ascii="Arial" w:hAnsi="Arial"/>
              </w:rPr>
              <w:t>:  if the third number after the decimal place is five (5) or greater then the prior number shall be increased by one (1) and if the third number after the decimal place is less than five (5) then the prior number shall remain unchanged.</w:t>
            </w:r>
          </w:p>
          <w:p>
            <w:pPr>
              <w:pStyle w:val="Normal"/>
              <w:tabs>
                <w:tab w:val="clear" w:pos="720"/>
                <w:tab w:val="left" w:pos="3780" w:leader="none"/>
              </w:tabs>
              <w:ind w:start="432" w:end="0"/>
              <w:jc w:val="both"/>
              <w:rPr>
                <w:rFonts w:ascii="Arial" w:hAnsi="Arial" w:cs="Arial"/>
              </w:rPr>
            </w:pPr>
            <w:r>
              <w:rPr>
                <w:rFonts w:cs="Arial" w:ascii="Arial" w:hAnsi="Arial"/>
              </w:rPr>
            </w:r>
          </w:p>
          <w:p>
            <w:pPr>
              <w:pStyle w:val="Normal"/>
              <w:ind w:start="432" w:end="0"/>
              <w:jc w:val="both"/>
              <w:rPr/>
            </w:pPr>
            <w:r>
              <w:rPr>
                <w:rFonts w:cs="Arial" w:ascii="Arial" w:hAnsi="Arial"/>
                <w:b/>
              </w:rPr>
              <w:t>“</w:t>
            </w:r>
            <w:r>
              <w:rPr>
                <w:rFonts w:cs="Arial" w:ascii="Arial" w:hAnsi="Arial"/>
                <w:b/>
              </w:rPr>
              <w:t>Missing Data Day”</w:t>
            </w:r>
            <w:r>
              <w:rPr>
                <w:rFonts w:cs="Arial" w:ascii="Arial" w:hAnsi="Arial"/>
              </w:rPr>
              <w:t xml:space="preserve"> means any day during the Calculation Period for which official data for the Reference Weather Station is unavailable</w:t>
            </w:r>
          </w:p>
          <w:p>
            <w:pPr>
              <w:pStyle w:val="Normal"/>
              <w:tabs>
                <w:tab w:val="clear" w:pos="720"/>
                <w:tab w:val="left" w:pos="3780" w:leader="none"/>
              </w:tabs>
              <w:ind w:start="432" w:end="0"/>
              <w:jc w:val="both"/>
              <w:rPr>
                <w:rFonts w:ascii="Arial" w:hAnsi="Arial" w:cs="Arial"/>
                <w:b/>
              </w:rPr>
            </w:pPr>
            <w:r>
              <w:rPr>
                <w:rFonts w:cs="Arial" w:ascii="Arial" w:hAnsi="Arial"/>
                <w:b/>
              </w:rPr>
            </w:r>
          </w:p>
          <w:p>
            <w:pPr>
              <w:pStyle w:val="Normal"/>
              <w:ind w:start="432" w:end="0"/>
              <w:jc w:val="both"/>
              <w:rPr/>
            </w:pPr>
            <w:r>
              <w:rPr>
                <w:rFonts w:cs="Arial" w:ascii="Arial" w:hAnsi="Arial"/>
                <w:b/>
              </w:rPr>
              <w:t>“</w:t>
            </w:r>
            <w:r>
              <w:rPr>
                <w:rFonts w:cs="Arial" w:ascii="Arial" w:hAnsi="Arial"/>
                <w:b/>
              </w:rPr>
              <w:t>Missing Data Calculation Day”</w:t>
            </w:r>
            <w:r>
              <w:rPr>
                <w:rFonts w:cs="Arial" w:ascii="Arial" w:hAnsi="Arial"/>
              </w:rPr>
              <w:t xml:space="preserve"> means the same day and same month as the applicable Missing Data Day. </w:t>
            </w:r>
          </w:p>
          <w:p>
            <w:pPr>
              <w:pStyle w:val="Normal"/>
              <w:tabs>
                <w:tab w:val="clear" w:pos="720"/>
                <w:tab w:val="left" w:pos="3780" w:leader="none"/>
              </w:tabs>
              <w:ind w:start="432" w:end="0"/>
              <w:jc w:val="both"/>
              <w:rPr>
                <w:rFonts w:ascii="Arial" w:hAnsi="Arial" w:cs="Arial"/>
                <w:b/>
              </w:rPr>
            </w:pPr>
            <w:r>
              <w:rPr>
                <w:rFonts w:cs="Arial" w:ascii="Arial" w:hAnsi="Arial"/>
                <w:b/>
              </w:rPr>
            </w:r>
          </w:p>
          <w:p>
            <w:pPr>
              <w:pStyle w:val="Normal"/>
              <w:tabs>
                <w:tab w:val="clear" w:pos="720"/>
                <w:tab w:val="left" w:pos="3780" w:leader="none"/>
              </w:tabs>
              <w:ind w:start="4320" w:end="0"/>
              <w:jc w:val="both"/>
              <w:rPr>
                <w:rFonts w:ascii="Arial" w:hAnsi="Arial" w:cs="Arial"/>
                <w:b/>
              </w:rPr>
            </w:pPr>
            <w:r>
              <w:rPr>
                <w:rFonts w:cs="Arial" w:ascii="Arial" w:hAnsi="Arial"/>
                <w:b/>
              </w:rPr>
            </w:r>
          </w:p>
          <w:p>
            <w:pPr>
              <w:pStyle w:val="Normal"/>
              <w:ind w:start="72" w:end="0"/>
              <w:jc w:val="both"/>
              <w:rPr>
                <w:rFonts w:ascii="Arial" w:hAnsi="Arial" w:cs="Arial"/>
              </w:rPr>
            </w:pPr>
            <w:r>
              <w:rPr>
                <w:rFonts w:cs="Arial" w:ascii="Arial" w:hAnsi="Arial"/>
              </w:rPr>
              <w:t>(ii)</w:t>
              <w:tab/>
              <w:t>If temperature data is unavailable for a period of less than twelve consecutive days during the Calculation Period, the Adjustment will be calculated for each Missing Data Day using an adjustment period of the 15 days immediately prior to the applicable Missing Data Day and the 15 days immediately following the applicable Missing Data Day.  If there are unavailable temperature values at the Fallback Station and/or the Reference Weather Station within the 15 days immediately prior to and 15 days immediately following a Missing Data Day, then an adjustment period of the first 15 days on which the applicable temperature values are available at the Fallback Station and the Reference Weather Station (out of a maximum of 25 days) on either side of each Missing Data Day shall be used to calculate the Adjustment.</w:t>
            </w:r>
          </w:p>
          <w:p>
            <w:pPr>
              <w:pStyle w:val="Normal"/>
              <w:tabs>
                <w:tab w:val="clear" w:pos="720"/>
                <w:tab w:val="left" w:pos="3780" w:leader="none"/>
              </w:tabs>
              <w:ind w:start="3780" w:end="0"/>
              <w:jc w:val="both"/>
              <w:rPr>
                <w:rFonts w:ascii="Arial" w:hAnsi="Arial" w:cs="Arial"/>
              </w:rPr>
            </w:pPr>
            <w:r>
              <w:rPr>
                <w:rFonts w:cs="Arial" w:ascii="Arial" w:hAnsi="Arial"/>
              </w:rPr>
            </w:r>
          </w:p>
          <w:p>
            <w:pPr>
              <w:pStyle w:val="Normal"/>
              <w:ind w:start="72" w:end="0"/>
              <w:jc w:val="both"/>
              <w:rPr>
                <w:rFonts w:ascii="Arial" w:hAnsi="Arial" w:cs="Arial"/>
              </w:rPr>
            </w:pPr>
            <w:r>
              <w:rPr>
                <w:rFonts w:cs="Arial" w:ascii="Arial" w:hAnsi="Arial"/>
              </w:rPr>
              <w:t>(iii)</w:t>
              <w:tab/>
              <w:t>If there are missing daily maximum and/or daily minimum temperature values and the methodology in (ii) above cannot be applied (for example twelve or more consecutive days are missing), the Adjustment for each Missing Data Day will be calculated using temperature data from an adjustment period of the 15 days prior to and including the applicable Missing Data Calculation Day and ending 15 days after the applicable Missing Data Calculation Day for the three previous years.  If there is no data for the Reference Weather Station and/or the Fallback Station in the immediate three prior years, the adjustment period will be extended back until three years of temperature data can be obtained for the Reference Weather Station and the Fallback Station.  If there are unavailable temperatures at the Fallback Station and/or the Reference Weather Station within the 15 days prior to and including a Missing Data Calculation Day or 15 days following a Missing Data Calculation Day, then an adjustment period shall be the first 15 days on which the applicable temperature values are available at the Fallback Station and the Reference Weather Station (out of a maximum of 25 days) on either side of each Missing Data Calculation Day shall be used to calculate the Adjustment.</w:t>
            </w:r>
          </w:p>
          <w:p>
            <w:pPr>
              <w:pStyle w:val="Normal"/>
              <w:tabs>
                <w:tab w:val="clear" w:pos="720"/>
                <w:tab w:val="left" w:pos="3780" w:leader="none"/>
              </w:tabs>
              <w:ind w:start="3780" w:end="0"/>
              <w:jc w:val="both"/>
              <w:rPr>
                <w:rFonts w:ascii="Arial" w:hAnsi="Arial" w:cs="Arial"/>
              </w:rPr>
            </w:pPr>
            <w:r>
              <w:rPr>
                <w:rFonts w:cs="Arial" w:ascii="Arial" w:hAnsi="Arial"/>
              </w:rPr>
            </w:r>
          </w:p>
          <w:p>
            <w:pPr>
              <w:pStyle w:val="Normal"/>
              <w:ind w:start="72" w:end="0"/>
              <w:jc w:val="both"/>
              <w:rPr/>
            </w:pPr>
            <w:r>
              <w:rPr>
                <w:rFonts w:cs="Arial" w:ascii="Arial" w:hAnsi="Arial"/>
                <w:b/>
              </w:rPr>
              <w:t>Leap Year Exception:</w:t>
            </w:r>
            <w:r>
              <w:rPr>
                <w:rFonts w:cs="Arial" w:ascii="Arial" w:hAnsi="Arial"/>
              </w:rPr>
              <w:t xml:space="preserve"> If the Missing Data Day is February 29</w:t>
            </w:r>
            <w:r>
              <w:rPr>
                <w:rFonts w:cs="Arial" w:ascii="Arial" w:hAnsi="Arial"/>
                <w:vertAlign w:val="superscript"/>
              </w:rPr>
              <w:t>th</w:t>
            </w:r>
            <w:r>
              <w:rPr>
                <w:rFonts w:cs="Arial" w:ascii="Arial" w:hAnsi="Arial"/>
              </w:rPr>
              <w:t>, the Missing Data Calculation Day shall be considered March 1</w:t>
            </w:r>
            <w:r>
              <w:rPr>
                <w:rFonts w:cs="Arial" w:ascii="Arial" w:hAnsi="Arial"/>
                <w:vertAlign w:val="superscript"/>
              </w:rPr>
              <w:t>st</w:t>
            </w:r>
            <w:r>
              <w:rPr>
                <w:rFonts w:cs="Arial" w:ascii="Arial" w:hAnsi="Arial"/>
              </w:rPr>
              <w:t xml:space="preserve">. </w:t>
            </w:r>
          </w:p>
          <w:p>
            <w:pPr>
              <w:pStyle w:val="Normal"/>
              <w:tabs>
                <w:tab w:val="clear" w:pos="720"/>
                <w:tab w:val="left" w:pos="3780" w:leader="none"/>
              </w:tabs>
              <w:ind w:start="3780" w:end="0"/>
              <w:jc w:val="both"/>
              <w:rPr>
                <w:rFonts w:ascii="Arial" w:hAnsi="Arial" w:cs="Arial"/>
              </w:rPr>
            </w:pPr>
            <w:r>
              <w:rPr>
                <w:rFonts w:cs="Arial" w:ascii="Arial" w:hAnsi="Arial"/>
              </w:rPr>
            </w:r>
          </w:p>
          <w:p>
            <w:pPr>
              <w:pStyle w:val="Normal"/>
              <w:ind w:start="72" w:end="0"/>
              <w:jc w:val="both"/>
              <w:rPr>
                <w:rFonts w:ascii="Arial" w:hAnsi="Arial" w:cs="Arial"/>
              </w:rPr>
            </w:pPr>
            <w:r>
              <w:rPr>
                <w:rFonts w:cs="Arial" w:ascii="Arial" w:hAnsi="Arial"/>
              </w:rPr>
              <w:t>(iv)   The Adjustment (whether positive or negative) shall be added to the relevant temperature (either the daily maximum temperature or the daily minimum temperature) for the Fallback Station as reported by the NCDC for the day on which the data is unavailable at the Reference Weather Station. The resulting daily maximum and/or daily minimum temperature will be rounded as follows: if the first number after the decimal place is five (5) or greater then the prior number shall be increased by one (1) and if the first number after the decimal place is less than five (5) then the prior number shall remain unchanged.</w:t>
            </w:r>
          </w:p>
          <w:p>
            <w:pPr>
              <w:pStyle w:val="Normal"/>
              <w:tabs>
                <w:tab w:val="clear" w:pos="720"/>
                <w:tab w:val="left" w:pos="3780" w:leader="none"/>
              </w:tabs>
              <w:ind w:start="3780" w:end="0"/>
              <w:jc w:val="both"/>
              <w:rPr>
                <w:rFonts w:ascii="Arial" w:hAnsi="Arial" w:cs="Arial"/>
              </w:rPr>
            </w:pPr>
            <w:r>
              <w:rPr>
                <w:rFonts w:cs="Arial" w:ascii="Arial" w:hAnsi="Arial"/>
              </w:rPr>
            </w:r>
          </w:p>
          <w:p>
            <w:pPr>
              <w:pStyle w:val="Normal"/>
              <w:ind w:start="72" w:end="0"/>
              <w:jc w:val="both"/>
              <w:rPr>
                <w:rFonts w:ascii="Arial" w:hAnsi="Arial" w:cs="Arial"/>
              </w:rPr>
            </w:pPr>
            <w:r>
              <w:rPr>
                <w:rFonts w:cs="Arial" w:ascii="Arial" w:hAnsi="Arial"/>
              </w:rPr>
              <w:t>(v)</w:t>
              <w:tab/>
              <w:t xml:space="preserve">If the Adjustment cannot be calculated using the available data from the Fallback Station, the Adjustment shall be calculated using the above methodology and substituting the Second Fallback Station for the Fallback Station. </w:t>
            </w:r>
          </w:p>
          <w:p>
            <w:pPr>
              <w:pStyle w:val="Normal"/>
              <w:ind w:start="72" w:end="0"/>
              <w:jc w:val="both"/>
              <w:rPr>
                <w:rFonts w:ascii="Arial" w:hAnsi="Arial" w:cs="Arial"/>
              </w:rPr>
            </w:pPr>
            <w:r>
              <w:rPr>
                <w:rFonts w:cs="Arial" w:ascii="Arial" w:hAnsi="Arial"/>
              </w:rPr>
            </w:r>
          </w:p>
          <w:p>
            <w:pPr>
              <w:pStyle w:val="Normal"/>
              <w:ind w:start="72" w:end="0"/>
              <w:jc w:val="both"/>
              <w:rPr>
                <w:rFonts w:ascii="Arial" w:hAnsi="Arial" w:cs="Arial"/>
              </w:rPr>
            </w:pPr>
            <w:r>
              <w:rPr>
                <w:rFonts w:cs="Arial" w:ascii="Arial" w:hAnsi="Arial"/>
              </w:rPr>
              <w:t>(vi)</w:t>
              <w:tab/>
              <w:t xml:space="preserve">If after the Payment Amount is calculated but prior to 95 days after the end of the Calculation Period, the NCDC publishes official data for days on which Adjustment values were calculated, the official data shall take precedence over any Adjustment values calculated with Fallback Station data. </w:t>
            </w:r>
          </w:p>
          <w:p>
            <w:pPr>
              <w:pStyle w:val="Normal"/>
              <w:tabs>
                <w:tab w:val="clear" w:pos="720"/>
                <w:tab w:val="left" w:pos="3780" w:leader="none"/>
              </w:tabs>
              <w:ind w:start="378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3150" w:type="dxa"/>
            <w:tcBorders/>
          </w:tcPr>
          <w:p>
            <w:pPr>
              <w:pStyle w:val="Normal"/>
              <w:snapToGrid w:val="false"/>
              <w:jc w:val="both"/>
              <w:rPr>
                <w:rFonts w:ascii="Arial" w:hAnsi="Arial" w:cs="Arial"/>
              </w:rPr>
            </w:pPr>
            <w:r>
              <w:rPr>
                <w:rFonts w:cs="Arial" w:ascii="Arial" w:hAnsi="Arial"/>
              </w:rPr>
            </w:r>
          </w:p>
        </w:tc>
        <w:tc>
          <w:tcPr>
            <w:tcW w:w="6390" w:type="dxa"/>
            <w:tcBorders/>
          </w:tcPr>
          <w:p>
            <w:pPr>
              <w:pStyle w:val="BodyTextIndent3"/>
              <w:snapToGrid w:val="false"/>
              <w:rPr>
                <w:rFonts w:ascii="Arial" w:hAnsi="Arial" w:cs="Arial"/>
                <w:color w:val="000000"/>
                <w:sz w:val="24"/>
              </w:rPr>
            </w:pPr>
            <w:r>
              <w:rPr>
                <w:rFonts w:cs="Arial" w:ascii="Arial" w:hAnsi="Arial"/>
                <w:color w:val="000000"/>
                <w:sz w:val="24"/>
              </w:rPr>
            </w:r>
          </w:p>
        </w:tc>
      </w:tr>
    </w:tbl>
    <w:p>
      <w:pPr>
        <w:pStyle w:val="Normal"/>
        <w:rPr>
          <w:rFonts w:ascii="Arial" w:hAnsi="Arial" w:cs="Arial"/>
        </w:rPr>
      </w:pPr>
      <w:r>
        <w:rPr>
          <w:rFonts w:cs="Arial" w:ascii="Arial" w:hAnsi="Arial"/>
        </w:rPr>
      </w:r>
    </w:p>
    <w:tbl>
      <w:tblPr>
        <w:tblW w:w="9554" w:type="dxa"/>
        <w:jc w:val="start"/>
        <w:tblInd w:w="105" w:type="dxa"/>
        <w:tblLayout w:type="fixed"/>
        <w:tblCellMar>
          <w:top w:w="0" w:type="dxa"/>
          <w:start w:w="105" w:type="dxa"/>
          <w:bottom w:w="0" w:type="dxa"/>
          <w:end w:w="105" w:type="dxa"/>
        </w:tblCellMar>
      </w:tblPr>
      <w:tblGrid>
        <w:gridCol w:w="3153"/>
        <w:gridCol w:w="6401"/>
      </w:tblGrid>
      <w:tr>
        <w:trPr/>
        <w:tc>
          <w:tcPr>
            <w:tcW w:w="3153" w:type="dxa"/>
            <w:tcBorders/>
          </w:tcPr>
          <w:p>
            <w:pPr>
              <w:pStyle w:val="Normal"/>
              <w:snapToGrid w:val="false"/>
              <w:jc w:val="both"/>
              <w:rPr>
                <w:rFonts w:ascii="Arial" w:hAnsi="Arial" w:cs="Arial"/>
              </w:rPr>
            </w:pPr>
            <w:r>
              <w:rPr>
                <w:rFonts w:cs="Arial" w:ascii="Arial" w:hAnsi="Arial"/>
              </w:rPr>
            </w:r>
          </w:p>
        </w:tc>
        <w:tc>
          <w:tcPr>
            <w:tcW w:w="6401" w:type="dxa"/>
            <w:tcBorders/>
          </w:tcPr>
          <w:p>
            <w:pPr>
              <w:pStyle w:val="Normal"/>
              <w:snapToGrid w:val="false"/>
              <w:jc w:val="both"/>
              <w:rPr>
                <w:rFonts w:ascii="Arial" w:hAnsi="Arial" w:cs="Arial"/>
              </w:rPr>
            </w:pPr>
            <w:r>
              <w:rPr>
                <w:rFonts w:cs="Arial" w:ascii="Arial" w:hAnsi="Arial"/>
              </w:rPr>
            </w:r>
          </w:p>
        </w:tc>
      </w:tr>
      <w:tr>
        <w:trPr/>
        <w:tc>
          <w:tcPr>
            <w:tcW w:w="3153" w:type="dxa"/>
            <w:tcBorders/>
          </w:tcPr>
          <w:p>
            <w:pPr>
              <w:pStyle w:val="Normal"/>
              <w:jc w:val="both"/>
              <w:rPr>
                <w:rFonts w:ascii="Arial" w:hAnsi="Arial" w:cs="Arial"/>
              </w:rPr>
            </w:pPr>
            <w:r>
              <w:rPr>
                <w:rFonts w:cs="Arial" w:ascii="Arial" w:hAnsi="Arial"/>
              </w:rPr>
              <w:t>Data Sources:</w:t>
            </w:r>
          </w:p>
        </w:tc>
        <w:tc>
          <w:tcPr>
            <w:tcW w:w="6401" w:type="dxa"/>
            <w:tcBorders/>
          </w:tcPr>
          <w:p>
            <w:pPr>
              <w:pStyle w:val="Normal"/>
              <w:jc w:val="both"/>
              <w:rPr/>
            </w:pPr>
            <w:r>
              <w:rPr>
                <w:rFonts w:cs="Arial" w:ascii="Arial" w:hAnsi="Arial"/>
              </w:rPr>
              <w:t xml:space="preserve">(i) If the Reference Weather Station is in the United States, the data used to determine the Floating Amount (and to the extent required, data for the Fallback Station) shall be obtained from the Reporting Agency's official website located at </w:t>
            </w:r>
            <w:hyperlink r:id="rId2">
              <w:r>
                <w:rPr>
                  <w:rStyle w:val="Hyperlink"/>
                  <w:rFonts w:cs="Arial" w:ascii="Arial" w:hAnsi="Arial"/>
                </w:rPr>
                <w:t>http://www.nndc.noaa.gov/cgi-bin/nndc/ph2_lcd_v2.cgi</w:t>
              </w:r>
            </w:hyperlink>
            <w:r>
              <w:rPr>
                <w:rFonts w:cs="Arial" w:ascii="Arial" w:hAnsi="Arial"/>
              </w:rPr>
              <w:t xml:space="preserve">, or any successor thereto; provided, however, if data is not reported for any particular day at such website, then the data for such day shall be obtained from the website for the appropriate Regional Climate Data Center located at </w:t>
            </w:r>
            <w:hyperlink r:id="rId3">
              <w:r>
                <w:rPr>
                  <w:rStyle w:val="Hyperlink"/>
                  <w:rFonts w:cs="Arial" w:ascii="Arial" w:hAnsi="Arial"/>
                </w:rPr>
                <w:t>http://www.nws.noaa.gov/regions.shtml</w:t>
              </w:r>
            </w:hyperlink>
            <w:r>
              <w:rPr>
                <w:rFonts w:cs="Arial" w:ascii="Arial" w:hAnsi="Arial"/>
              </w:rPr>
              <w:t xml:space="preserve">, or any successor thereto; and provided further to the extent that (x) the Reporting Agency data is corrected or adjusted within 95 days of the end of the Calculation Period or (y) the data is temporarily sourced from the Regional Climate Data Center, then the data for such new, adjusted or corrected number(s) shall be obtained from the Reporting Agency's official website located at </w:t>
            </w:r>
            <w:hyperlink r:id="rId4">
              <w:r>
                <w:rPr>
                  <w:rStyle w:val="Hyperlink"/>
                  <w:rFonts w:cs="Arial" w:ascii="Arial" w:hAnsi="Arial"/>
                </w:rPr>
                <w:t>http://www4.ncdc.noaa.gov/cgi-win/wwcgi.dll?WWNolos~Product~PB-078</w:t>
              </w:r>
            </w:hyperlink>
            <w:r>
              <w:rPr>
                <w:rFonts w:cs="Arial" w:ascii="Arial" w:hAnsi="Arial"/>
              </w:rPr>
              <w:t xml:space="preserve">. Notwithstanding the foregoing, if neither the Regional Climate Data Center nor the Reporting Agency issues data for the RWS, then the procedures set forth under "Fallback Methodology" shall be utilized to determine the missing data, </w:t>
            </w:r>
          </w:p>
        </w:tc>
      </w:tr>
      <w:tr>
        <w:trPr/>
        <w:tc>
          <w:tcPr>
            <w:tcW w:w="3153" w:type="dxa"/>
            <w:tcBorders/>
          </w:tcPr>
          <w:p>
            <w:pPr>
              <w:pStyle w:val="Normal"/>
              <w:jc w:val="both"/>
              <w:rPr>
                <w:rFonts w:ascii="Arial" w:hAnsi="Arial" w:cs="Arial"/>
              </w:rPr>
            </w:pPr>
            <w:r>
              <w:rPr>
                <w:rFonts w:cs="Arial" w:ascii="Arial" w:hAnsi="Arial"/>
              </w:rPr>
              <w:t>Strike Amount Differential:</w:t>
            </w:r>
          </w:p>
        </w:tc>
        <w:tc>
          <w:tcPr>
            <w:tcW w:w="6401" w:type="dxa"/>
            <w:tcBorders/>
          </w:tcPr>
          <w:p>
            <w:pPr>
              <w:pStyle w:val="Normal"/>
              <w:jc w:val="both"/>
              <w:rPr>
                <w:rFonts w:ascii="Arial" w:hAnsi="Arial" w:cs="Arial"/>
              </w:rPr>
            </w:pPr>
            <w:r>
              <w:rPr>
                <w:rFonts w:cs="Arial" w:ascii="Arial" w:hAnsi="Arial"/>
              </w:rPr>
              <w:t>For an HDD, ATHDD, CDD or ATCDD Swap Underlying Transaction:  The amount equal to the difference between the (i) the Floating Amount minus (ii) the Strike Amount.</w:t>
            </w:r>
          </w:p>
          <w:p>
            <w:pPr>
              <w:pStyle w:val="Normal"/>
              <w:jc w:val="both"/>
              <w:rPr>
                <w:rFonts w:ascii="Arial" w:hAnsi="Arial" w:cs="Arial"/>
              </w:rPr>
            </w:pPr>
            <w:r>
              <w:rPr>
                <w:rFonts w:cs="Arial" w:ascii="Arial" w:hAnsi="Arial"/>
              </w:rPr>
              <w:t xml:space="preserve">For an HDD, ATHDD, CDD or ATCDD Cap Underlying Transaction:  The amount equal to the difference (if a positive number) between (i) the Floating Amount minus (ii) the Strike Amount. </w:t>
            </w:r>
          </w:p>
          <w:p>
            <w:pPr>
              <w:pStyle w:val="Normal"/>
              <w:jc w:val="both"/>
              <w:rPr>
                <w:rFonts w:ascii="Arial" w:hAnsi="Arial" w:cs="Arial"/>
              </w:rPr>
            </w:pPr>
            <w:r>
              <w:rPr>
                <w:rFonts w:cs="Arial" w:ascii="Arial" w:hAnsi="Arial"/>
              </w:rPr>
              <w:t>For an HDD, ATHDD, CDD or ATCDD Floor Underlying Transaction:  The amount equal to the difference (if a positive number) between (i) the Strike Amount minus (ii) the Floating Amount.</w:t>
            </w:r>
          </w:p>
        </w:tc>
      </w:tr>
      <w:tr>
        <w:trPr/>
        <w:tc>
          <w:tcPr>
            <w:tcW w:w="3153" w:type="dxa"/>
            <w:tcBorders/>
          </w:tcPr>
          <w:p>
            <w:pPr>
              <w:pStyle w:val="Normal"/>
              <w:jc w:val="both"/>
              <w:rPr>
                <w:rFonts w:ascii="Arial" w:hAnsi="Arial" w:cs="Arial"/>
              </w:rPr>
            </w:pPr>
            <w:r>
              <w:rPr>
                <w:rFonts w:cs="Arial" w:ascii="Arial" w:hAnsi="Arial"/>
              </w:rPr>
              <w:t>Payment Amount:</w:t>
            </w:r>
          </w:p>
        </w:tc>
        <w:tc>
          <w:tcPr>
            <w:tcW w:w="6401" w:type="dxa"/>
            <w:tcBorders/>
          </w:tcPr>
          <w:p>
            <w:pPr>
              <w:pStyle w:val="Normal"/>
              <w:jc w:val="both"/>
              <w:rPr>
                <w:rFonts w:ascii="Arial" w:hAnsi="Arial" w:cs="Arial"/>
              </w:rPr>
            </w:pPr>
            <w:r>
              <w:rPr>
                <w:rFonts w:cs="Arial" w:ascii="Arial" w:hAnsi="Arial"/>
              </w:rPr>
              <w:t>For HDD, ATHDD, CDD and ATCDD Swap Underlying Transactions:  Notwithstanding any provision of the Agreement to the contrary, if the Strike Amount Differential is a:</w:t>
            </w:r>
          </w:p>
          <w:p>
            <w:pPr>
              <w:pStyle w:val="Normal"/>
              <w:jc w:val="both"/>
              <w:rPr/>
            </w:pPr>
            <w:r>
              <w:rPr>
                <w:rFonts w:cs="Arial" w:ascii="Arial" w:hAnsi="Arial"/>
              </w:rPr>
              <w:t>(i) positive number, the Floating Amount Payer shall pay the Fixed Amount Payer an amount in the Contractual Currency</w:t>
            </w:r>
            <w:r>
              <w:rPr>
                <w:rFonts w:cs="Arial" w:ascii="Arial" w:hAnsi="Arial"/>
                <w:color w:val="FF0000"/>
              </w:rPr>
              <w:t xml:space="preserve"> </w:t>
            </w:r>
            <w:r>
              <w:rPr>
                <w:rFonts w:cs="Arial" w:ascii="Arial" w:hAnsi="Arial"/>
              </w:rPr>
              <w:t xml:space="preserve">equal to the product of (i) the Notional Amount and (ii) the Strike Amount Differential, which amount shall be due and payable on the applicable Payment Date, </w:t>
            </w:r>
            <w:r>
              <w:rPr>
                <w:rFonts w:cs="Arial" w:ascii="Arial" w:hAnsi="Arial"/>
                <w:b/>
              </w:rPr>
              <w:t>provided, however</w:t>
            </w:r>
            <w:r>
              <w:rPr>
                <w:rFonts w:cs="Arial" w:ascii="Arial" w:hAnsi="Arial"/>
              </w:rPr>
              <w:t>, that the maximum amount payable by the Floating Amount Payer shall not exceed the applicable Payout Limit,</w:t>
            </w:r>
            <w:r>
              <w:rPr>
                <w:rFonts w:cs="Arial" w:ascii="Arial" w:hAnsi="Arial"/>
                <w:color w:val="FF0000"/>
              </w:rPr>
              <w:t xml:space="preserve"> </w:t>
            </w:r>
            <w:r>
              <w:rPr>
                <w:rFonts w:cs="Arial" w:ascii="Arial" w:hAnsi="Arial"/>
              </w:rPr>
              <w:t xml:space="preserve">or </w:t>
            </w:r>
          </w:p>
          <w:p>
            <w:pPr>
              <w:pStyle w:val="Normal"/>
              <w:jc w:val="both"/>
              <w:rPr/>
            </w:pPr>
            <w:r>
              <w:rPr>
                <w:rFonts w:cs="Arial" w:ascii="Arial" w:hAnsi="Arial"/>
              </w:rPr>
              <w:t xml:space="preserve">(ii) negative number, the Fixed Amount Payer shall pay the Floating Amount Payer an amount in the Contractual Currency equal to the absolute value of the product of (i) the Notional Amount and (ii) the Strike Amount Differential, which amount shall be due and payable on the applicable Payment Date, </w:t>
            </w:r>
            <w:r>
              <w:rPr>
                <w:rFonts w:cs="Arial" w:ascii="Arial" w:hAnsi="Arial"/>
                <w:b/>
              </w:rPr>
              <w:t>provided, however</w:t>
            </w:r>
            <w:r>
              <w:rPr>
                <w:rFonts w:cs="Arial" w:ascii="Arial" w:hAnsi="Arial"/>
              </w:rPr>
              <w:t>, that the maximum amount payable by the Fixed Amount Payer shall not exceed the applicable Payout Limit.</w:t>
            </w:r>
          </w:p>
          <w:p>
            <w:pPr>
              <w:pStyle w:val="Normal"/>
              <w:keepNext w:val="true"/>
              <w:keepLines/>
              <w:jc w:val="both"/>
              <w:rPr/>
            </w:pPr>
            <w:r>
              <w:rPr>
                <w:rFonts w:cs="Arial" w:ascii="Arial" w:hAnsi="Arial"/>
              </w:rPr>
              <w:t xml:space="preserve">For HDD, ATHDD, CDD and ATCDD Cap Underlying Transactions:  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rFonts w:cs="Arial" w:ascii="Arial" w:hAnsi="Arial"/>
                <w:b/>
              </w:rPr>
              <w:t>provided, however</w:t>
            </w:r>
            <w:r>
              <w:rPr>
                <w:rFonts w:cs="Arial" w:ascii="Arial" w:hAnsi="Arial"/>
              </w:rPr>
              <w:t>, that the maximum amount payable by the Floating Amount Payer shall not exceed the applicable Payout Limit.</w:t>
            </w:r>
          </w:p>
          <w:p>
            <w:pPr>
              <w:pStyle w:val="Normal"/>
              <w:keepNext w:val="true"/>
              <w:keepLines/>
              <w:jc w:val="both"/>
              <w:rPr/>
            </w:pPr>
            <w:r>
              <w:rPr>
                <w:rFonts w:cs="Arial" w:ascii="Arial" w:hAnsi="Arial"/>
              </w:rPr>
              <w:t xml:space="preserve">For HDD, ATHDD, CDD and ATCDD Floor Underlying Transactions:  Notwithstanding any provision of the Agreement to the contrary, if the Strike Amount is greater than the Floating Amount, the Floating Amount Payer shall pay the Fixed Amount Payer an amount in US Dollars equal to the product of (i) the Notional Amount and (ii) the Strike Amount Differential, which amount shall be due and payable on the applicable Payment Date, </w:t>
            </w:r>
            <w:r>
              <w:rPr>
                <w:rFonts w:cs="Arial" w:ascii="Arial" w:hAnsi="Arial"/>
                <w:b/>
              </w:rPr>
              <w:t>provided, however</w:t>
            </w:r>
            <w:r>
              <w:rPr>
                <w:rFonts w:cs="Arial" w:ascii="Arial" w:hAnsi="Arial"/>
              </w:rPr>
              <w:t>, that the maximum amount payable by the Floating Amount Payer shall not exceed the applicable Payout Limit.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c>
      </w:tr>
      <w:tr>
        <w:trPr/>
        <w:tc>
          <w:tcPr>
            <w:tcW w:w="3153" w:type="dxa"/>
            <w:tcBorders/>
          </w:tcPr>
          <w:p>
            <w:pPr>
              <w:pStyle w:val="Normal"/>
              <w:snapToGrid w:val="false"/>
              <w:rPr>
                <w:rFonts w:ascii="Arial" w:hAnsi="Arial" w:cs="Arial"/>
              </w:rPr>
            </w:pPr>
            <w:r>
              <w:rPr>
                <w:rFonts w:cs="Arial" w:ascii="Arial" w:hAnsi="Arial"/>
              </w:rPr>
            </w:r>
          </w:p>
        </w:tc>
        <w:tc>
          <w:tcPr>
            <w:tcW w:w="6401" w:type="dxa"/>
            <w:tcBorders/>
          </w:tcPr>
          <w:p>
            <w:pPr>
              <w:pStyle w:val="Normal"/>
              <w:snapToGrid w:val="false"/>
              <w:rPr>
                <w:rFonts w:ascii="Arial" w:hAnsi="Arial" w:cs="Arial"/>
              </w:rPr>
            </w:pPr>
            <w:r>
              <w:rPr>
                <w:rFonts w:cs="Arial" w:ascii="Arial" w:hAnsi="Arial"/>
              </w:rPr>
            </w:r>
          </w:p>
        </w:tc>
      </w:tr>
    </w:tbl>
    <w:p>
      <w:pPr>
        <w:pStyle w:val="Normal"/>
        <w:jc w:val="both"/>
        <w:rPr/>
      </w:pPr>
      <w:r>
        <w:rPr>
          <w:rFonts w:cs="Arial" w:ascii="Arial" w:hAnsi="Arial"/>
        </w:rPr>
        <w:t xml:space="preserve">3. </w:t>
      </w:r>
      <w:r>
        <w:rPr>
          <w:rFonts w:cs="Arial" w:ascii="Arial" w:hAnsi="Arial"/>
          <w:b/>
          <w:u w:val="single"/>
        </w:rPr>
        <w:t>General</w:t>
      </w:r>
      <w:r>
        <w:rPr>
          <w:rFonts w:cs="Arial" w:ascii="Arial" w:hAnsi="Arial"/>
          <w:b/>
        </w:rPr>
        <w:t>.</w:t>
      </w:r>
      <w:r>
        <w:rPr>
          <w:rFonts w:cs="Arial" w:ascii="Arial" w:hAnsi="Arial"/>
        </w:rPr>
        <w:t xml:space="preserve"> "Transaction" as used herein shall mean this GTC (together with the ISDA Form) taken together with the terms set forth on the Website submitted by Counterparty and accepted by Enron. This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rPr>
      </w:pPr>
      <w:r>
        <w:rPr>
          <w:rFonts w:cs="Arial" w:ascii="Arial" w:hAnsi="Arial"/>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rPr>
        <w:t>4.</w:t>
      </w:r>
      <w:r>
        <w:rPr>
          <w:rFonts w:cs="Arial" w:ascii="Arial" w:hAnsi="Arial"/>
          <w:b/>
        </w:rPr>
        <w:t xml:space="preserve"> </w:t>
      </w:r>
      <w:r>
        <w:rPr>
          <w:rFonts w:cs="Arial" w:ascii="Arial" w:hAnsi="Arial"/>
          <w:b/>
          <w:u w:val="single"/>
        </w:rPr>
        <w:t>Representations</w:t>
      </w:r>
      <w:r>
        <w:rPr>
          <w:rFonts w:cs="Arial" w:ascii="Arial" w:hAnsi="Arial"/>
          <w:b/>
        </w:rPr>
        <w:t>.</w:t>
      </w:r>
      <w:r>
        <w:rPr>
          <w:rFonts w:cs="Arial" w:ascii="Arial" w:hAnsi="Arial"/>
        </w:rPr>
        <w:t xml:space="preserve"> To induce the other to enter into this Transaction, each party represents and warrants to the other that: (a) </w:t>
      </w:r>
      <w:r>
        <w:rPr>
          <w:rFonts w:cs="Arial" w:ascii="Arial" w:hAnsi="Arial"/>
          <w:u w:val="single"/>
        </w:rPr>
        <w:t>Authority</w:t>
      </w:r>
      <w:r>
        <w:rPr>
          <w:rFonts w:cs="Arial" w:ascii="Arial" w:hAnsi="Arial"/>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rFonts w:cs="Arial" w:ascii="Arial" w:hAnsi="Arial"/>
          <w:u w:val="single"/>
        </w:rPr>
        <w:t>Eligible Contract Participant</w:t>
      </w:r>
      <w:r>
        <w:rPr>
          <w:rFonts w:cs="Arial" w:ascii="Arial" w:hAnsi="Arial"/>
        </w:rPr>
        <w:t xml:space="preserve">: it constitutes an "eligible contract participant" as such term is defined in the Commodity Exchange Act, as amended, 7 U.S.C. §1a(12); and (c) </w:t>
      </w:r>
      <w:r>
        <w:rPr>
          <w:rFonts w:cs="Arial" w:ascii="Arial" w:hAnsi="Arial"/>
          <w:u w:val="single"/>
        </w:rPr>
        <w:t>No Reliance and No Advisory Status</w:t>
      </w:r>
      <w:r>
        <w:rPr>
          <w:rFonts w:cs="Arial" w:ascii="Arial" w:hAnsi="Arial"/>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rPr>
        <w:t xml:space="preserve">5. </w:t>
      </w:r>
      <w:r>
        <w:rPr>
          <w:rFonts w:cs="Arial" w:ascii="Arial" w:hAnsi="Arial"/>
          <w:b/>
          <w:u w:val="single"/>
        </w:rPr>
        <w:t>Early Termination</w:t>
      </w:r>
      <w:r>
        <w:rPr>
          <w:rFonts w:cs="Arial" w:ascii="Arial" w:hAnsi="Arial"/>
          <w:b/>
        </w:rPr>
        <w:t>.</w:t>
      </w:r>
      <w:r>
        <w:rPr>
          <w:rFonts w:cs="Arial" w:ascii="Arial" w:hAnsi="Arial"/>
        </w:rPr>
        <w:t xml:space="preserve"> For purposes of Section 6(e) of the ISDA Agreement, the Second Method and Loss shall apply.</w:t>
      </w:r>
    </w:p>
    <w:p>
      <w:pPr>
        <w:pStyle w:val="Normal"/>
        <w:jc w:val="both"/>
        <w:rPr/>
      </w:pPr>
      <w:r>
        <w:rPr>
          <w:rFonts w:cs="Arial" w:ascii="Arial" w:hAnsi="Arial"/>
        </w:rPr>
        <w:t xml:space="preserve">6. </w:t>
      </w:r>
      <w:r>
        <w:rPr>
          <w:rFonts w:cs="Arial" w:ascii="Arial" w:hAnsi="Arial"/>
          <w:b/>
          <w:u w:val="single"/>
        </w:rPr>
        <w:t>Governing Law/Jurisdiction</w:t>
      </w:r>
      <w:r>
        <w:rPr>
          <w:rFonts w:cs="Arial" w:ascii="Arial" w:hAnsi="Arial"/>
          <w:b/>
        </w:rPr>
        <w:t>.</w:t>
      </w:r>
      <w:r>
        <w:rPr>
          <w:rFonts w:cs="Arial" w:ascii="Arial" w:hAnsi="Arial"/>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rPr>
        <w:t xml:space="preserve">7. </w:t>
      </w:r>
      <w:r>
        <w:rPr>
          <w:rFonts w:cs="Arial" w:ascii="Arial" w:hAnsi="Arial"/>
          <w:b/>
          <w:u w:val="single"/>
        </w:rPr>
        <w:t>Confidentiality</w:t>
      </w:r>
      <w:r>
        <w:rPr>
          <w:rFonts w:cs="Arial" w:ascii="Arial" w:hAnsi="Arial"/>
          <w:b/>
        </w:rPr>
        <w:t>.</w:t>
      </w:r>
      <w:r>
        <w:rPr>
          <w:rFonts w:cs="Arial" w:ascii="Arial" w:hAnsi="Arial"/>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insurers, advisors or lenders which are required to keep the information that is disclosed in confidence.</w:t>
      </w:r>
    </w:p>
    <w:p>
      <w:pPr>
        <w:pStyle w:val="Normal"/>
        <w:jc w:val="both"/>
        <w:rPr/>
      </w:pPr>
      <w:r>
        <w:rPr>
          <w:rFonts w:cs="Arial" w:ascii="Arial" w:hAnsi="Arial"/>
        </w:rPr>
        <w:t xml:space="preserve">8. </w:t>
      </w:r>
      <w:r>
        <w:rPr>
          <w:rFonts w:cs="Arial" w:ascii="Arial" w:hAnsi="Arial"/>
          <w:b/>
          <w:u w:val="single"/>
        </w:rPr>
        <w:t>Calculation Agent</w:t>
      </w:r>
      <w:r>
        <w:rPr>
          <w:rFonts w:cs="Arial" w:ascii="Arial" w:hAnsi="Arial"/>
          <w:b/>
        </w:rPr>
        <w:t>.</w:t>
      </w:r>
      <w:r>
        <w:rPr>
          <w:rFonts w:cs="Arial" w:ascii="Arial" w:hAnsi="Arial"/>
        </w:rPr>
        <w:t xml:space="preserve"> The Calculation Agent shall be Enron.</w:t>
      </w:r>
    </w:p>
    <w:p>
      <w:pPr>
        <w:pStyle w:val="Normal"/>
        <w:jc w:val="both"/>
        <w:rPr/>
      </w:pPr>
      <w:r>
        <w:rPr>
          <w:rFonts w:cs="Arial" w:ascii="Arial" w:hAnsi="Arial"/>
        </w:rPr>
        <w:t xml:space="preserve">9. </w:t>
      </w:r>
      <w:r>
        <w:rPr>
          <w:rFonts w:cs="Arial" w:ascii="Arial" w:hAnsi="Arial"/>
          <w:b/>
          <w:u w:val="single"/>
        </w:rPr>
        <w:t>Netting of Payments</w:t>
      </w:r>
      <w:r>
        <w:rPr>
          <w:rFonts w:cs="Arial" w:ascii="Arial" w:hAnsi="Arial"/>
          <w:b/>
        </w:rPr>
        <w:t>.</w:t>
      </w:r>
      <w:r>
        <w:rPr>
          <w:rFonts w:cs="Arial" w:ascii="Arial" w:hAnsi="Arial"/>
        </w:rPr>
        <w:t xml:space="preserve"> Section 2(c)(ii) of the ISDA Agreement will not apply to all Transactions.</w:t>
      </w:r>
    </w:p>
    <w:p>
      <w:pPr>
        <w:pStyle w:val="Normal"/>
        <w:jc w:val="both"/>
        <w:rPr/>
      </w:pPr>
      <w:r>
        <w:rPr>
          <w:rFonts w:cs="Arial" w:ascii="Arial" w:hAnsi="Arial"/>
        </w:rPr>
        <w:t xml:space="preserve">10. </w:t>
      </w:r>
      <w:r>
        <w:rPr>
          <w:rFonts w:cs="Arial" w:ascii="Arial" w:hAnsi="Arial"/>
          <w:b/>
          <w:u w:val="single"/>
        </w:rPr>
        <w:t>Limitation of Liability</w:t>
      </w:r>
      <w:r>
        <w:rPr>
          <w:rFonts w:cs="Arial" w:ascii="Arial" w:hAnsi="Arial"/>
          <w:b/>
        </w:rPr>
        <w:t>. 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jc w:val="both"/>
        <w:rPr/>
      </w:pPr>
      <w:r>
        <w:rPr>
          <w:rFonts w:cs="Arial" w:ascii="Arial" w:hAnsi="Arial"/>
        </w:rPr>
        <w:t xml:space="preserve">11. </w:t>
      </w:r>
      <w:r>
        <w:rPr>
          <w:rFonts w:cs="Arial" w:ascii="Arial" w:hAnsi="Arial"/>
          <w:b/>
          <w:u w:val="single"/>
        </w:rPr>
        <w:t>Setoff</w:t>
      </w:r>
      <w:r>
        <w:rPr>
          <w:rFonts w:cs="Arial" w:ascii="Arial" w:hAnsi="Arial"/>
          <w:b/>
        </w:rPr>
        <w:t>.</w:t>
      </w:r>
      <w:r>
        <w:rPr>
          <w:rFonts w:cs="Arial" w:ascii="Arial" w:hAnsi="Arial"/>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rPr>
        <w:t xml:space="preserve">12. </w:t>
      </w:r>
      <w:r>
        <w:rPr>
          <w:rFonts w:cs="Arial" w:ascii="Arial" w:hAnsi="Arial"/>
          <w:b/>
          <w:u w:val="single"/>
        </w:rPr>
        <w:t>Severability</w:t>
      </w:r>
      <w:r>
        <w:rPr>
          <w:rFonts w:cs="Arial" w:ascii="Arial" w:hAnsi="Arial"/>
          <w:b/>
        </w:rPr>
        <w:t>.</w:t>
      </w:r>
      <w:r>
        <w:rPr>
          <w:rFonts w:cs="Arial" w:ascii="Arial" w:hAnsi="Arial"/>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u w:val="single"/>
        </w:rPr>
        <w:t>provided</w:t>
      </w:r>
      <w:r>
        <w:rPr>
          <w:rFonts w:cs="Arial" w:ascii="Arial" w:hAnsi="Arial"/>
        </w:rPr>
        <w:t xml:space="preserve">, </w:t>
      </w:r>
      <w:r>
        <w:rPr>
          <w:rFonts w:cs="Arial" w:ascii="Arial" w:hAnsi="Arial"/>
          <w:u w:val="single"/>
        </w:rPr>
        <w:t>however</w:t>
      </w:r>
      <w:r>
        <w:rPr>
          <w:rFonts w:cs="Arial" w:ascii="Arial" w:hAnsi="Arial"/>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jc w:val="both"/>
        <w:rPr/>
      </w:pPr>
      <w:r>
        <w:rPr>
          <w:rFonts w:cs="Arial" w:ascii="Arial" w:hAnsi="Arial"/>
        </w:rPr>
        <w:t xml:space="preserve">13. </w:t>
      </w:r>
      <w:r>
        <w:rPr>
          <w:rFonts w:cs="Arial" w:ascii="Arial" w:hAnsi="Arial"/>
          <w:b/>
          <w:u w:val="single"/>
        </w:rPr>
        <w:t>Collateral Arrangements.</w:t>
      </w:r>
      <w:r>
        <w:rPr>
          <w:rFonts w:cs="Arial" w:ascii="Arial" w:hAnsi="Arial"/>
          <w:b/>
        </w:rPr>
        <w:t xml:space="preserve"> </w:t>
      </w:r>
      <w:r>
        <w:rPr>
          <w:rFonts w:cs="Arial" w:ascii="Arial" w:hAnsi="Arial"/>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sz w:val="14"/>
        <w:i w:val="false"/>
        <w:b w:val="false"/>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i/>
      <w:sz w:val="20"/>
      <w:szCs w:val="20"/>
    </w:rPr>
  </w:style>
  <w:style w:type="paragraph" w:styleId="Heading2">
    <w:name w:val="heading 2"/>
    <w:basedOn w:val="Normal"/>
    <w:next w:val="Normal"/>
    <w:qFormat/>
    <w:pPr>
      <w:keepNext w:val="true"/>
      <w:numPr>
        <w:ilvl w:val="1"/>
        <w:numId w:val="1"/>
      </w:numPr>
      <w:outlineLvl w:val="1"/>
    </w:pPr>
    <w:rPr>
      <w:b/>
      <w:bCs/>
      <w:sz w:val="14"/>
    </w:rPr>
  </w:style>
  <w:style w:type="paragraph" w:styleId="Heading3">
    <w:name w:val="heading 3"/>
    <w:basedOn w:val="Normal"/>
    <w:next w:val="Normal"/>
    <w:qFormat/>
    <w:pPr>
      <w:keepNext w:val="true"/>
      <w:numPr>
        <w:ilvl w:val="2"/>
        <w:numId w:val="1"/>
      </w:numPr>
      <w:jc w:val="center"/>
      <w:outlineLvl w:val="2"/>
    </w:pPr>
    <w:rPr>
      <w:sz w:val="14"/>
      <w:szCs w:val="20"/>
    </w:rPr>
  </w:style>
  <w:style w:type="character" w:styleId="WW8Num1z0">
    <w:name w:val="WW8Num1z0"/>
    <w:qFormat/>
    <w:rPr>
      <w:rFonts w:ascii="Times New Roman" w:hAnsi="Times New Roman" w:cs="Times New Roman"/>
      <w:b w:val="false"/>
      <w:i w:val="false"/>
      <w:sz w:val="14"/>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bidi="ar-SA" w:eastAsia="zh-CN"/>
    </w:rPr>
  </w:style>
  <w:style w:type="paragraph" w:styleId="BodyTextIndent3">
    <w:name w:val="Body Text Indent 3"/>
    <w:basedOn w:val="Normal"/>
    <w:qFormat/>
    <w:pPr>
      <w:tabs>
        <w:tab w:val="clear" w:pos="720"/>
        <w:tab w:val="left" w:pos="72" w:leader="none"/>
      </w:tabs>
      <w:ind w:hanging="18" w:start="72" w:end="0"/>
      <w:jc w:val="both"/>
    </w:pPr>
    <w:rPr>
      <w:color w:val="800080"/>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ndc.noaa.gov/cgi-bin/nndc/ph2_lcd_v2.cgi" TargetMode="External"/><Relationship Id="rId3" Type="http://schemas.openxmlformats.org/officeDocument/2006/relationships/hyperlink" Target="http://www.nws.noaa.gov/regions.shtml" TargetMode="External"/><Relationship Id="rId4" Type="http://schemas.openxmlformats.org/officeDocument/2006/relationships/hyperlink" Target="http://www4.ncdc.noaa.gov/cgi-win/wwcgi.dll?WWNolos~Product~PB-078"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2001-04-09T15:53:00Z</dcterms:created>
  <dc:creator>bhendry</dc:creator>
  <dc:description/>
  <dc:language>en-CA</dc:language>
  <cp:lastModifiedBy>kmeredi</cp:lastModifiedBy>
  <cp:lastPrinted>2001-04-05T17:11:00Z</cp:lastPrinted>
  <dcterms:modified xsi:type="dcterms:W3CDTF">2001-04-09T15:53:00Z</dcterms:modified>
  <cp:revision>2</cp:revision>
  <dc:subject/>
  <dc:title>LONG DESCRIPTION</dc:title>
</cp:coreProperties>
</file>