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Normal"/>
        <w:rPr/>
      </w:pPr>
      <w:r>
        <w:rPr/>
        <w:t>Houston, Texas  77002</w:t>
      </w:r>
    </w:p>
    <w:p>
      <w:pPr>
        <w:pStyle w:val="Normal"/>
        <w:rPr/>
      </w:pPr>
      <w:r>
        <w:rPr/>
      </w:r>
    </w:p>
    <w:p>
      <w:pPr>
        <w:pStyle w:val="Normal"/>
        <w:rPr/>
      </w:pPr>
      <w:r>
        <w:rPr/>
        <w:t>Dear Sir or Madam:</w:t>
      </w:r>
    </w:p>
    <w:p>
      <w:pPr>
        <w:pStyle w:val="Normal"/>
        <w:rPr/>
      </w:pPr>
      <w:r>
        <w:rPr/>
      </w:r>
    </w:p>
    <w:p>
      <w:pPr>
        <w:pStyle w:val="Normal"/>
        <w:ind w:firstLine="1440" w:end="0"/>
        <w:jc w:val="both"/>
        <w:rPr/>
      </w:pPr>
      <w:r>
        <w:rPr/>
        <w:t>We have acted as counsel to [                       ] (the “Counterparty”), in connection with the execution and delivery by the Counterparty of an ISDA Master Agreement dated as of           , 19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 and [              ].</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                        ] duly existing under the laws of [                  ].</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or other authority that are required to be obtained or made in connection with the Counterparty’s execution, delivery and performance of the Agreement have been obtained or made and are valid and subsisting, including any requisite approval, consent or notice to be filed with the insurance department in its state of domicile with respect to entering into derivative transactions of the type contemplated by the parties.</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                   ] and any political subdivision thereof and would be given effect by the courts of [                       ] and any political subdivision thereof.</w:t>
      </w:r>
    </w:p>
    <w:p>
      <w:pPr>
        <w:pStyle w:val="Normal"/>
        <w:tabs>
          <w:tab w:val="clear" w:pos="720"/>
          <w:tab w:val="left" w:pos="1440" w:leader="none"/>
        </w:tabs>
        <w:jc w:val="both"/>
        <w:rPr/>
      </w:pPr>
      <w:r>
        <w:rPr/>
      </w:r>
    </w:p>
    <w:p>
      <w:pPr>
        <w:pStyle w:val="Normal"/>
        <w:tabs>
          <w:tab w:val="clear" w:pos="720"/>
          <w:tab w:val="left" w:pos="1260" w:leader="none"/>
          <w:tab w:val="left" w:pos="1440" w:leader="none"/>
        </w:tabs>
        <w:jc w:val="both"/>
        <w:rPr/>
      </w:pPr>
      <w:r>
        <w:rPr/>
        <w:tab/>
        <w:t xml:space="preserve"> 7.  The Counterparty is not entitled to claim immunity for itself or its property or assets from service of process, jurisdiction, suit, judgment, execution, attachment (whether before judgment, in aid or execution, or otherwise), nor may there be attributed to it or its property or assets any such immunity (whether or not claimed).</w:t>
      </w:r>
    </w:p>
    <w:p>
      <w:pPr>
        <w:pStyle w:val="Normal"/>
        <w:tabs>
          <w:tab w:val="clear" w:pos="720"/>
          <w:tab w:val="left" w:pos="1440" w:leader="none"/>
        </w:tabs>
        <w:jc w:val="both"/>
        <w:rPr/>
      </w:pPr>
      <w:r>
        <w:rPr/>
      </w:r>
    </w:p>
    <w:p>
      <w:pPr>
        <w:pStyle w:val="Normal"/>
        <w:tabs>
          <w:tab w:val="clear" w:pos="720"/>
          <w:tab w:val="left" w:pos="1440" w:leader="none"/>
        </w:tabs>
        <w:jc w:val="both"/>
        <w:rPr/>
      </w:pPr>
      <w:r>
        <w:rPr/>
        <w:tab/>
        <w:t>8.  The payment obligations of the Counterparty under the Agreement rank at least equally with its unsecured and unsubordinated internal and external indebtedness.</w:t>
      </w:r>
    </w:p>
    <w:p>
      <w:pPr>
        <w:pStyle w:val="Normal"/>
        <w:tabs>
          <w:tab w:val="clear" w:pos="720"/>
          <w:tab w:val="left" w:pos="1440" w:leader="none"/>
        </w:tabs>
        <w:jc w:val="both"/>
        <w:rPr/>
      </w:pPr>
      <w:r>
        <w:rPr/>
      </w:r>
    </w:p>
    <w:p>
      <w:pPr>
        <w:pStyle w:val="Normal"/>
        <w:tabs>
          <w:tab w:val="clear" w:pos="720"/>
          <w:tab w:val="left" w:pos="1260" w:leader="none"/>
          <w:tab w:val="left" w:pos="1440" w:leader="none"/>
        </w:tabs>
        <w:jc w:val="both"/>
        <w:rPr/>
      </w:pPr>
      <w:r>
        <w:rPr/>
        <w:tab/>
      </w:r>
      <w:r>
        <w:rPr>
          <w:color w:val="FF0000"/>
        </w:rPr>
        <w:t>[</w:t>
      </w:r>
      <w:r>
        <w:rPr/>
        <w:t>9.  The security interest granted by the Counterparty to Enron North America Corp. pursuant to the Collateral Annex (the “Security Agreement”) constitutes a valid, first prior perfected and enforceable security interest in, and lien on, all of the Counterparty’s right, title and interest in and to the collateral (as defined in the Security Agreement), subject to no equal or prior security interests or liens of any kind whatsoever</w:t>
      </w:r>
      <w:r>
        <w:rPr>
          <w:color w:val="FF0000"/>
        </w:rPr>
        <w:t>.]</w:t>
      </w:r>
    </w:p>
    <w:p>
      <w:pPr>
        <w:pStyle w:val="Header"/>
        <w:tabs>
          <w:tab w:val="clear" w:pos="4320"/>
          <w:tab w:val="clear" w:pos="8640"/>
          <w:tab w:val="left" w:pos="1260" w:leader="none"/>
          <w:tab w:val="left" w:pos="1440" w:leader="none"/>
        </w:tabs>
        <w:rPr/>
      </w:pPr>
      <w:r>
        <w:rPr/>
      </w:r>
    </w:p>
    <w:p>
      <w:pPr>
        <w:pStyle w:val="Normal"/>
        <w:tabs>
          <w:tab w:val="clear" w:pos="720"/>
          <w:tab w:val="left" w:pos="1440" w:leader="none"/>
        </w:tabs>
        <w:rPr/>
      </w:pPr>
      <w:r>
        <w:rPr/>
        <w:tab/>
        <w:tab/>
        <w:tab/>
        <w:tab/>
        <w:tab/>
        <w:tab/>
        <w:t>Very truly yours,</w:t>
      </w:r>
    </w:p>
    <w:p>
      <w:pPr>
        <w:pStyle w:val="Normal"/>
        <w:tabs>
          <w:tab w:val="clear" w:pos="720"/>
          <w:tab w:val="left" w:pos="1440" w:leader="none"/>
        </w:tabs>
        <w:rPr/>
      </w:pPr>
      <w:r>
        <w:rPr/>
      </w:r>
    </w:p>
    <w:p>
      <w:pPr>
        <w:pStyle w:val="Normal"/>
        <w:tabs>
          <w:tab w:val="clear" w:pos="720"/>
          <w:tab w:val="left" w:pos="1440" w:leader="none"/>
        </w:tabs>
        <w:rPr/>
      </w:pPr>
      <w:r>
        <w:rPr/>
      </w:r>
    </w:p>
    <w:p>
      <w:pPr>
        <w:pStyle w:val="Normal"/>
        <w:tabs>
          <w:tab w:val="clear" w:pos="720"/>
          <w:tab w:val="left" w:pos="1440" w:leader="none"/>
        </w:tabs>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 Legal/SStack/Legal Opinions/US Insurance Company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1999-12-08T13:17:00Z</dcterms:created>
  <dc:creator>Brent Hendry</dc:creator>
  <dc:description/>
  <dc:language>en-CA</dc:language>
  <cp:lastModifiedBy>sstack</cp:lastModifiedBy>
  <cp:lastPrinted>1999-12-08T09:45:00Z</cp:lastPrinted>
  <dcterms:modified xsi:type="dcterms:W3CDTF">1999-12-08T13:20:00Z</dcterms:modified>
  <cp:revision>3</cp:revision>
  <dc:subject/>
  <dc:title>								[Draft--12\11\95]</dc:title>
</cp:coreProperties>
</file>