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U.S. FERC releases text of California power mkt probe.</w:t>
      </w:r>
      <w:r>
        <w:rPr/>
        <w:br/>
        <w:t>By Patrick Connole</w:t>
        <w:br/>
        <w:t xml:space="preserve">  </w:t>
        <w:br/>
        <w:t xml:space="preserve">11/01/2000 </w:t>
        <w:br/>
        <w:t xml:space="preserve">Reuters English News Service </w:t>
        <w:br/>
        <w:t xml:space="preserve">(C) Reuters Limited 2000. </w:t>
      </w:r>
    </w:p>
    <w:p>
      <w:pPr>
        <w:pStyle w:val="NormalWeb"/>
        <w:rPr/>
      </w:pPr>
      <w:r>
        <w:rPr/>
        <w:t xml:space="preserve">WASHINGTON, Nov 1 (Reuters) - The following are some key points made in a U.S. Federal Energy Regulatory Commission staff investigation into high electricity prices in California this summer, according to a release made public on Wednesday. </w:t>
      </w:r>
    </w:p>
    <w:p>
      <w:pPr>
        <w:pStyle w:val="NormalWeb"/>
        <w:rPr/>
      </w:pPr>
      <w:r>
        <w:rPr/>
        <w:t xml:space="preserve">Briefly, the staff report identifies three factors that contributed to the high prices experienced in California this summer. </w:t>
      </w:r>
    </w:p>
    <w:p>
      <w:pPr>
        <w:pStyle w:val="NormalWeb"/>
        <w:rPr/>
      </w:pPr>
      <w:r>
        <w:rPr/>
        <w:t xml:space="preserve">First competitive market forces played a major role in the run-up of prices through significantly increased power production costs combined with increased demand due to unusually high temperatures and a scarcity of available generation resources throughout the West and California in particular. </w:t>
      </w:r>
    </w:p>
    <w:p>
      <w:pPr>
        <w:pStyle w:val="NormalWeb"/>
        <w:rPr/>
      </w:pPr>
      <w:r>
        <w:rPr/>
        <w:t xml:space="preserve">In addition, the staff report concludes that existing market rules along with some flawed regulatory policies exacerbated the situation. The staff report notes that the requirement placed upon the three IOU's (Investor Owned Utilities) by the California Commission to buy and sell all their energy needs through the PX (Power Exchange), coupled with the California Commission's restrictions on their ability to forward contract, exposed the three IOU's to the volatility of the spot market without the ability to mitigate this summer's price volatility. </w:t>
      </w:r>
    </w:p>
    <w:p>
      <w:pPr>
        <w:pStyle w:val="NormalWeb"/>
        <w:rPr/>
      </w:pPr>
      <w:r>
        <w:rPr/>
        <w:t xml:space="preserve">The staff report also notes that a lack of demand responsiveness on the part of retail load allows prices to rise well above competitive levels when demand is high and supplies are scarce. </w:t>
      </w:r>
    </w:p>
    <w:p>
      <w:pPr>
        <w:pStyle w:val="NormalWeb"/>
        <w:rPr/>
      </w:pPr>
      <w:r>
        <w:rPr/>
        <w:t xml:space="preserve">Finally, the staff report finds that the ISO's policies relating to replacement reserves increased the amount of demand and supply that appears in the ISO's (Independent System Operator) real-time market (underscheduling in the PX), which results in operational and reliability problems for the ISO and increased costs. The staff report recommends that commission eliminate these flawed market rules. </w:t>
      </w:r>
    </w:p>
    <w:p>
      <w:pPr>
        <w:pStyle w:val="NormalWeb"/>
        <w:rPr/>
      </w:pPr>
      <w:r>
        <w:rPr/>
        <w:t xml:space="preserve">Lastly, the staff report notes that there is evidence suggesting that sellers had the potential to exercise market power (where market power is defined as prices above short-run marginal cost) this summer; however, the data analysed in the staff report and the limited time availability were not sufficient to make determinations regarding the exercise of market power by individual sellers. One of the staff report's proposed changes to the market rules would eliminate the single price auction rule." </w:t>
      </w:r>
    </w:p>
    <w:p>
      <w:pPr>
        <w:pStyle w:val="NormalWeb"/>
        <w:rPr/>
      </w:pPr>
      <w:r>
        <w:rPr/>
        <w:t>The three IOU's are Pacific Gas and Electric, San Diego Gas and Electric and SoCal Edison. San Diego Gas &amp; Electric is a unit of Sempra Energy, SoCal Edison is a unit of Edison International and Pacific Gas is owned by PG&amp;E Corp. . The three are based in the San Diego, Los Angeles and San Francisco areas, respectively.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271570995&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2000-11-01T19:26:00Z</dcterms:created>
  <dc:creator>mbuster</dc:creator>
  <dc:description/>
  <dc:language>en-CA</dc:language>
  <cp:lastModifiedBy>mbuster</cp:lastModifiedBy>
  <dcterms:modified xsi:type="dcterms:W3CDTF">2000-11-01T19:31:00Z</dcterms:modified>
  <cp:revision>1</cp:revision>
  <dc:subject/>
  <dc:title> </dc:title>
</cp:coreProperties>
</file>