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US FERC Alters Method For Assessing Fees On Electricity</w:t>
      </w:r>
      <w:r>
        <w:rPr/>
        <w:br/>
        <w:t xml:space="preserve">  </w:t>
        <w:br/>
        <w:t xml:space="preserve">10/25/2000 </w:t>
        <w:br/>
        <w:t xml:space="preserve">Dow Jones Energy Service </w:t>
        <w:br/>
        <w:t xml:space="preserve">(Copyright (c) 2000, Dow Jones &amp; Company, Inc.) </w:t>
      </w:r>
    </w:p>
    <w:p>
      <w:pPr>
        <w:pStyle w:val="NormalWeb"/>
        <w:rPr/>
      </w:pPr>
      <w:r>
        <w:rPr/>
        <w:t xml:space="preserve">WASHINGTON -(Dow Jones)- The U.S. Federal Energy Regulatory Commission Wednesday issued a final rule altering its method of assessing charges for revenue needed to fund its regulatory program for the electricity sector. </w:t>
      </w:r>
    </w:p>
    <w:p>
      <w:pPr>
        <w:pStyle w:val="NormalWeb"/>
        <w:rPr/>
      </w:pPr>
      <w:r>
        <w:rPr/>
        <w:t xml:space="preserve">The new methodology will collect charges based on the megawatt-hours of electricity transmitted over FERC-regulated transmission systems. The commission previously assessed charges based on jurisdictional power sales and transmission volumes. </w:t>
      </w:r>
    </w:p>
    <w:p>
      <w:pPr>
        <w:pStyle w:val="NormalWeb"/>
        <w:rPr/>
      </w:pPr>
      <w:r>
        <w:rPr/>
        <w:t xml:space="preserve">The commission said it adopted the new system to reflect the dramatic and sweeping competitive changes affecting the U.S. $215 billion electricity sector. </w:t>
      </w:r>
    </w:p>
    <w:p>
      <w:pPr>
        <w:pStyle w:val="NormalWeb"/>
        <w:rPr/>
      </w:pPr>
      <w:r>
        <w:rPr/>
        <w:t xml:space="preserve">Under the 1986 Omnibus Budget Reconciliation Act, FERC collects fees from regulated entities equal to the operating costs of its regulatory program. </w:t>
      </w:r>
    </w:p>
    <w:p>
      <w:pPr>
        <w:pStyle w:val="NormalWeb"/>
        <w:rPr/>
      </w:pPr>
      <w:r>
        <w:rPr/>
        <w:t xml:space="preserve">FERC described the change as reflecting the changing focus of the commission's regulatory agenda away from regulating power rates. With power sales increasingly being made at market-based rates, the commission's regulatory efforts are more concentrated on transmission operations. </w:t>
      </w:r>
    </w:p>
    <w:p>
      <w:pPr>
        <w:pStyle w:val="NormalWeb"/>
        <w:rPr/>
      </w:pPr>
      <w:r>
        <w:rPr/>
        <w:t xml:space="preserve">The change means that ultimately the fees will primarily be collected from independent system operators and regional transmission organizations, which under FERC rules are expected to assume responsibility for operating the lion's share of the U.S. interconnected high-voltage power grid. </w:t>
      </w:r>
    </w:p>
    <w:p>
      <w:pPr>
        <w:pStyle w:val="NormalWeb"/>
        <w:rPr/>
      </w:pPr>
      <w:r>
        <w:rPr/>
        <w:t xml:space="preserve">The new fees will be reflected in rates charged for transmission services. They will take effect in 2002, based on 2001 market data submitted to the commission. </w:t>
      </w:r>
    </w:p>
    <w:p>
      <w:pPr>
        <w:pStyle w:val="NormalWeb"/>
        <w:rPr/>
      </w:pPr>
      <w:r>
        <w:rPr/>
        <w:t xml:space="preserve">The fees aren't assessed against unregulated municipally owned utilities and rural electric cooperatives. </w:t>
      </w:r>
    </w:p>
    <w:p>
      <w:pPr>
        <w:pStyle w:val="NormalWeb"/>
        <w:rPr/>
      </w:pPr>
      <w:r>
        <w:rPr/>
        <w:t xml:space="preserve">-By Bryan Lee, Dow Jones Newswires, 202-862-6647, bryan.lee@dowjones.com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679772051&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2000-10-25T16:11:00Z</dcterms:created>
  <dc:creator>mbuster</dc:creator>
  <dc:description/>
  <dc:language>en-CA</dc:language>
  <cp:lastModifiedBy>mbuster</cp:lastModifiedBy>
  <dcterms:modified xsi:type="dcterms:W3CDTF">2000-10-25T16:58:00Z</dcterms:modified>
  <cp:revision>1</cp:revision>
  <dc:subject/>
  <dc:title> </dc:title>
</cp:coreProperties>
</file>