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FF"/>
        </w:rPr>
      </w:pPr>
      <w:r>
        <w:rPr>
          <w:color w:val="0000FF"/>
        </w:rPr>
        <w:drawing>
          <wp:inline distT="0" distB="0" distL="0" distR="0">
            <wp:extent cx="2381250" cy="190500"/>
            <wp:effectExtent l="0" t="0" r="0" b="0"/>
            <wp:docPr id="1" name="djn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jn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189" r="-15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b/>
          <w:bCs/>
        </w:rPr>
        <w:t>US FERC Addresses Onset Of Retail Competition in Nevada</w:t>
      </w:r>
      <w:r>
        <w:rPr/>
        <w:br/>
        <w:t xml:space="preserve">  </w:t>
        <w:br/>
        <w:t xml:space="preserve">10/25/2000 </w:t>
        <w:br/>
        <w:t xml:space="preserve">Dow Jones Energy Service </w:t>
        <w:br/>
        <w:t xml:space="preserve">(Copyright (c) 2000, Dow Jones &amp; Company, Inc.) </w:t>
      </w:r>
    </w:p>
    <w:p>
      <w:pPr>
        <w:pStyle w:val="NormalWeb"/>
        <w:rPr/>
      </w:pPr>
      <w:r>
        <w:rPr/>
        <w:t xml:space="preserve">WASHINGTON -(Dow Jones)- The U.S. Federal Energy Regulatory Commission issued two orders Wednesday relating to the onset of retail power competition in Nevada. </w:t>
      </w:r>
    </w:p>
    <w:p>
      <w:pPr>
        <w:pStyle w:val="NormalWeb"/>
        <w:rPr/>
      </w:pPr>
      <w:r>
        <w:rPr/>
        <w:t xml:space="preserve">Retail competition was to have begun in Nevada in March, but implementation of the program has been delayed. </w:t>
      </w:r>
    </w:p>
    <w:p>
      <w:pPr>
        <w:pStyle w:val="NormalWeb"/>
        <w:rPr/>
      </w:pPr>
      <w:r>
        <w:rPr/>
        <w:t xml:space="preserve">FERC's orders involved filings from Nevada Power Co. and Sierra Pacific Power Co., operating units of Sierra Pacific Resources (SRP). </w:t>
      </w:r>
    </w:p>
    <w:p>
      <w:pPr>
        <w:pStyle w:val="NormalWeb"/>
        <w:rPr/>
      </w:pPr>
      <w:r>
        <w:rPr/>
        <w:t xml:space="preserve">In one order, FERC rejected a compliance filing addressing the treatment of transition power purchase contracts and the release of unused capacity to California's power market. </w:t>
      </w:r>
    </w:p>
    <w:p>
      <w:pPr>
        <w:pStyle w:val="NormalWeb"/>
        <w:rPr/>
      </w:pPr>
      <w:r>
        <w:rPr/>
        <w:t xml:space="preserve">In the other, the commission accepted a transition arrangement under which Sierra Pacific will continue to operate the state's power grid because the planned independent scheduling administrator won't be in place before the onset of retail competition. </w:t>
      </w:r>
    </w:p>
    <w:p>
      <w:pPr>
        <w:pStyle w:val="NormalWeb"/>
        <w:rPr/>
      </w:pPr>
      <w:r>
        <w:rPr/>
        <w:t xml:space="preserve">In the compliance filing order, FERC found that Sierra Pacific failed to comply with the commission's directive that released capacity be announced 24 hours in advance. </w:t>
      </w:r>
    </w:p>
    <w:p>
      <w:pPr>
        <w:pStyle w:val="NormalWeb"/>
        <w:rPr/>
      </w:pPr>
      <w:r>
        <w:rPr/>
        <w:t xml:space="preserve">The California Power Exchange had filed a protest, noting that under the filing the capacity would be released two hours after the PX's day-ahead auction closes. </w:t>
      </w:r>
    </w:p>
    <w:p>
      <w:pPr>
        <w:pStyle w:val="NormalWeb"/>
        <w:rPr/>
      </w:pPr>
      <w:r>
        <w:rPr/>
        <w:t xml:space="preserve">FERC ordered Sierra Pacific to make another compliance filing within 30 days addressing the commission's findings that the rejected compliance filing: </w:t>
      </w:r>
    </w:p>
    <w:p>
      <w:pPr>
        <w:pStyle w:val="NormalWeb"/>
        <w:rPr/>
      </w:pPr>
      <w:r>
        <w:rPr/>
        <w:t xml:space="preserve">- incorporated a deadline only 16 hours in advance; </w:t>
      </w:r>
    </w:p>
    <w:p>
      <w:pPr>
        <w:pStyle w:val="NormalWeb"/>
        <w:rPr/>
      </w:pPr>
      <w:r>
        <w:rPr/>
        <w:t xml:space="preserve">- failed to allow bids by the new generation owners into the California PX's day-ahead market; and </w:t>
      </w:r>
    </w:p>
    <w:p>
      <w:pPr>
        <w:pStyle w:val="NormalWeb"/>
        <w:rPr/>
      </w:pPr>
      <w:r>
        <w:rPr/>
        <w:t xml:space="preserve">- limited the power available in the Nevada market for hourly cost-based service through Sierra Pacific's generation aggregation tariffs. </w:t>
      </w:r>
    </w:p>
    <w:p>
      <w:pPr>
        <w:pStyle w:val="NormalWeb"/>
        <w:rPr/>
      </w:pPr>
      <w:r>
        <w:rPr/>
        <w:t xml:space="preserve">In the other order, FERC agreed to allow an independent third party, other than the Mountain West independent system administrator as originally planned, to auction off market-sensitive access to Nevada's congested transmission import pathways. </w:t>
      </w:r>
    </w:p>
    <w:p>
      <w:pPr>
        <w:pStyle w:val="NormalWeb"/>
        <w:rPr/>
      </w:pPr>
      <w:r>
        <w:rPr/>
        <w:t xml:space="preserve">But the commission rejected Sierra Pacific's proposal to retain 50% of the year-long "firm import rights" to be auctioned off as monthly blocks. </w:t>
      </w:r>
    </w:p>
    <w:p>
      <w:pPr>
        <w:pStyle w:val="NormalWeb"/>
        <w:rPr/>
      </w:pPr>
      <w:r>
        <w:rPr/>
        <w:t xml:space="preserve">FERC ordered the utilities to release all of their transmission import capacity rights into the auction, and rejected Sierra Pacific's proposed revenue crediting mechanism as discriminatory. </w:t>
      </w:r>
    </w:p>
    <w:p>
      <w:pPr>
        <w:pStyle w:val="NormalWeb"/>
        <w:rPr/>
      </w:pPr>
      <w:r>
        <w:rPr/>
        <w:t xml:space="preserve">"As we have stated in other orders concerning congestion pricing, a mechanism to obtain long-term transmission rights is important for the development of a competitive and efficient electricity market," FERC said.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</w:t>
      </w:r>
      <w:r>
        <w:rPr>
          <w:rFonts w:cs="Lucida Console" w:ascii="Lucida Console" w:hAnsi="Lucida Console"/>
          <w:sz w:val="15"/>
          <w:szCs w:val="15"/>
        </w:rPr>
        <w:t>-By Bryan Lee, Dow Jones Newswires, 202-862-6647, bryan.lee@dowjones.com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rstg1p.djnr.com/cgi-bin/DJInteractive?cgi=WEB_PUB_DETAILS&amp;GJANum=204685672&amp;page=st_channels/pubdetails&amp;SC=NRG&amp;NEWSC=NRG&amp;Single=On&amp;logo=y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2000-10-26T14:02:00Z</dcterms:created>
  <dc:creator>mbuster</dc:creator>
  <dc:description/>
  <dc:language>en-CA</dc:language>
  <cp:lastModifiedBy>mbuster</cp:lastModifiedBy>
  <dcterms:modified xsi:type="dcterms:W3CDTF">2000-10-26T14:06:00Z</dcterms:modified>
  <cp:revision>1</cp:revision>
  <dc:subject/>
  <dc:title> </dc:title>
</cp:coreProperties>
</file>