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u w:val="single"/>
        </w:rPr>
      </w:pPr>
      <w:r>
        <w:rPr>
          <w:b/>
          <w:u w:val="single"/>
        </w:rPr>
        <w:t>An Overview of the</w:t>
      </w:r>
    </w:p>
    <w:p>
      <w:pPr>
        <w:pStyle w:val="BodyText"/>
        <w:jc w:val="center"/>
        <w:rPr>
          <w:b/>
          <w:u w:val="single"/>
        </w:rPr>
      </w:pPr>
      <w:r>
        <w:rPr>
          <w:b/>
          <w:u w:val="single"/>
        </w:rPr>
        <w:t>US National Energy Policy</w:t>
      </w:r>
    </w:p>
    <w:p>
      <w:pPr>
        <w:pStyle w:val="BodyText"/>
        <w:rPr>
          <w:b/>
          <w:u w:val="single"/>
        </w:rPr>
      </w:pPr>
      <w:r>
        <w:rPr>
          <w:b/>
          <w:u w:val="single"/>
        </w:rPr>
      </w:r>
    </w:p>
    <w:p>
      <w:pPr>
        <w:pStyle w:val="BodyText"/>
        <w:rPr/>
      </w:pPr>
      <w:r>
        <w:rPr/>
      </w:r>
    </w:p>
    <w:p>
      <w:pPr>
        <w:pStyle w:val="BodyText"/>
        <w:rPr/>
      </w:pPr>
      <w:r>
        <w:rPr/>
        <w:t xml:space="preserve">Yesterday President George W. Bush unveiled his much anticipated National Energy Policy during a speech in St. Paul, Minnesota. Confronted with the worst energy challenges since the Carter administration, the President painted a bleak picture of the US’s energy future unless Americans are prepared to take action. “This country could face a darker future, a future that is, unfortunately being previewed in rising prices at the gas pump and rolling blackouts in the great state of California. These events are challenging what had become a fact of life in America, the routine, everyday expectation that when you flick on a light switch, the light will come on.” </w:t>
      </w:r>
    </w:p>
    <w:p>
      <w:pPr>
        <w:pStyle w:val="Normal"/>
        <w:rPr>
          <w:sz w:val="24"/>
        </w:rPr>
      </w:pPr>
      <w:r>
        <w:rPr>
          <w:sz w:val="24"/>
        </w:rPr>
      </w:r>
    </w:p>
    <w:p>
      <w:pPr>
        <w:pStyle w:val="Normal"/>
        <w:rPr>
          <w:sz w:val="24"/>
        </w:rPr>
      </w:pPr>
      <w:r>
        <w:rPr>
          <w:sz w:val="24"/>
        </w:rPr>
        <w:t>In order to avoid the “darker future”, a senior Cabinet-level task force led by Vice President Dick Cheney has spent the past 5-months analyzing the problems and seeking solutions. The result is a 163-page document with 105 recommendations targeting the three key aspects of the US energy equation: demand, supply and infrastructure.</w:t>
      </w:r>
    </w:p>
    <w:p>
      <w:pPr>
        <w:pStyle w:val="Normal"/>
        <w:rPr>
          <w:sz w:val="24"/>
        </w:rPr>
      </w:pPr>
      <w:r>
        <w:rPr>
          <w:sz w:val="24"/>
        </w:rPr>
      </w:r>
    </w:p>
    <w:p>
      <w:pPr>
        <w:pStyle w:val="Heading1"/>
        <w:ind w:hanging="0" w:start="0"/>
        <w:rPr/>
      </w:pPr>
      <w:r>
        <w:rPr/>
        <w:t>Demand</w:t>
      </w:r>
    </w:p>
    <w:p>
      <w:pPr>
        <w:pStyle w:val="Normal"/>
        <w:rPr>
          <w:sz w:val="24"/>
        </w:rPr>
      </w:pPr>
      <w:r>
        <w:rPr>
          <w:sz w:val="24"/>
        </w:rPr>
      </w:r>
    </w:p>
    <w:p>
      <w:pPr>
        <w:pStyle w:val="Normal"/>
        <w:rPr>
          <w:sz w:val="24"/>
        </w:rPr>
      </w:pPr>
      <w:r>
        <w:rPr>
          <w:sz w:val="24"/>
        </w:rPr>
        <w:t xml:space="preserve">Prior to yesterday’s announcement, the importance of demand side solutions appeared to be negligible. The Administration’s statements over the past few months including a recent speech by Vice President Cheney at the annual general meeting of the Associated Press re-enforced perceptions that solutions to the US energy crisis were going to be supply and not demand driven. And, while the Bush energy plan does not endorse demand-side initiatives to the extent environmentalists and conservationists would like, there is more substance and more of an emphasis in this plan than most people had expected. In his speech yesterday the President set out the lofty goal that by promoting demand-side innovation and technology solutions the US would become the world leader in energy efficiency and conservation. </w:t>
      </w:r>
    </w:p>
    <w:p>
      <w:pPr>
        <w:pStyle w:val="Normal"/>
        <w:rPr>
          <w:sz w:val="24"/>
        </w:rPr>
      </w:pPr>
      <w:r>
        <w:rPr>
          <w:sz w:val="24"/>
        </w:rPr>
      </w:r>
    </w:p>
    <w:p>
      <w:pPr>
        <w:pStyle w:val="Normal"/>
        <w:rPr>
          <w:sz w:val="24"/>
        </w:rPr>
      </w:pPr>
      <w:r>
        <w:rPr>
          <w:sz w:val="24"/>
        </w:rPr>
        <w:t>Key recommendations in this area include:</w:t>
      </w:r>
    </w:p>
    <w:p>
      <w:pPr>
        <w:pStyle w:val="Normal"/>
        <w:rPr>
          <w:sz w:val="24"/>
        </w:rPr>
      </w:pPr>
      <w:r>
        <w:rPr>
          <w:sz w:val="24"/>
        </w:rPr>
      </w:r>
    </w:p>
    <w:p>
      <w:pPr>
        <w:pStyle w:val="Normal"/>
        <w:numPr>
          <w:ilvl w:val="0"/>
          <w:numId w:val="2"/>
        </w:numPr>
        <w:rPr>
          <w:sz w:val="24"/>
        </w:rPr>
      </w:pPr>
      <w:r>
        <w:rPr>
          <w:sz w:val="24"/>
        </w:rPr>
        <w:t>That the President direct the Secretary of Energy to conduct a review of current funding and historic performance of energy efficiency research and development programs. Based on this review the Secretary of Energy is then directed to propose appropriate funding of those research and development programs that are performance-based and are modeled as public-private partnerships.</w:t>
      </w:r>
    </w:p>
    <w:p>
      <w:pPr>
        <w:pStyle w:val="Normal"/>
        <w:numPr>
          <w:ilvl w:val="0"/>
          <w:numId w:val="2"/>
        </w:numPr>
        <w:rPr>
          <w:sz w:val="24"/>
        </w:rPr>
      </w:pPr>
      <w:r>
        <w:rPr>
          <w:sz w:val="24"/>
        </w:rPr>
        <w:t>That the President direct the Secretary of the Treasury to work with Congress to encourage increased energy efficiency through combined heat and power projects by shortening the depreciation life for such projects or providing investment tax credits.</w:t>
      </w:r>
    </w:p>
    <w:p>
      <w:pPr>
        <w:pStyle w:val="Normal"/>
        <w:numPr>
          <w:ilvl w:val="0"/>
          <w:numId w:val="2"/>
        </w:numPr>
        <w:rPr>
          <w:sz w:val="24"/>
        </w:rPr>
      </w:pPr>
      <w:r>
        <w:rPr>
          <w:sz w:val="24"/>
        </w:rPr>
        <w:t>That the President direct the Administrator of the Environmental Protection Agency to work with local and state government to promote the use of well-designed combined heat and power projects and other clean power generation at brownfields sites, consistent with the local communities’ interests. The EPA will also work to clarify liability issues if they are raised at a particular site.</w:t>
      </w:r>
    </w:p>
    <w:p>
      <w:pPr>
        <w:pStyle w:val="Normal"/>
        <w:numPr>
          <w:ilvl w:val="0"/>
          <w:numId w:val="2"/>
        </w:numPr>
        <w:rPr>
          <w:sz w:val="24"/>
        </w:rPr>
      </w:pPr>
      <w:r>
        <w:rPr>
          <w:sz w:val="24"/>
        </w:rPr>
        <w:t xml:space="preserve">That the President direct the Secretary of Transportation to review and provide recommendations on establishing Corporate Average Fuel Economy standards. Responsibly crafted standards should increase efficiency without negatively impacting the US automotive industry. </w:t>
      </w:r>
    </w:p>
    <w:p>
      <w:pPr>
        <w:pStyle w:val="Normal"/>
        <w:numPr>
          <w:ilvl w:val="0"/>
          <w:numId w:val="2"/>
        </w:numPr>
        <w:rPr>
          <w:sz w:val="24"/>
        </w:rPr>
      </w:pPr>
      <w:r>
        <w:rPr>
          <w:sz w:val="24"/>
        </w:rPr>
        <w:t xml:space="preserve">That the President direct the Secretary of Treasury to work with Congress on legislation to increase energy efficiency with a tax credit for fuel-efficient vehicles. </w:t>
      </w:r>
    </w:p>
    <w:p>
      <w:pPr>
        <w:pStyle w:val="Normal"/>
        <w:numPr>
          <w:ilvl w:val="0"/>
          <w:numId w:val="2"/>
        </w:numPr>
        <w:rPr>
          <w:sz w:val="24"/>
        </w:rPr>
      </w:pPr>
      <w:r>
        <w:rPr>
          <w:sz w:val="24"/>
        </w:rPr>
        <w:t>That the President direct the Environmental Protection Agency and the Department of Transportation to develop ways to reduce demand for petroleum transportation fuels by working with the trucking industry to establish a program to reduce emissions and fuel consumption from long-haul trucks.</w:t>
      </w:r>
    </w:p>
    <w:p>
      <w:pPr>
        <w:pStyle w:val="Normal"/>
        <w:rPr>
          <w:sz w:val="24"/>
        </w:rPr>
      </w:pPr>
      <w:r>
        <w:rPr>
          <w:sz w:val="24"/>
        </w:rPr>
      </w:r>
    </w:p>
    <w:p>
      <w:pPr>
        <w:pStyle w:val="Heading1"/>
        <w:ind w:hanging="0" w:start="0"/>
        <w:rPr/>
      </w:pPr>
      <w:r>
        <w:rPr/>
        <w:t>Supply</w:t>
      </w:r>
    </w:p>
    <w:p>
      <w:pPr>
        <w:pStyle w:val="Normal"/>
        <w:rPr>
          <w:sz w:val="24"/>
        </w:rPr>
      </w:pPr>
      <w:r>
        <w:rPr>
          <w:sz w:val="24"/>
        </w:rPr>
      </w:r>
    </w:p>
    <w:p>
      <w:pPr>
        <w:pStyle w:val="Normal"/>
        <w:rPr>
          <w:sz w:val="24"/>
        </w:rPr>
      </w:pPr>
      <w:r>
        <w:rPr>
          <w:sz w:val="24"/>
        </w:rPr>
        <w:t xml:space="preserve">The supply side has long been at the core of the Bush Administration’s energy strategy and yesterday’s energy policy announcement did not disappoint. It reiterates the view that the key to the US’s energy future will be in identifying and developing additional sources of supply. The policy recommends the expansion and diversification of America’s supply from all sources of energy – oil and gas, clean coal, solar, wind, biomass, hydropower, and other renewables as well as nuclear. Identifying domestic sources of supply must be a priority for the United States not only for energy security but also national security. </w:t>
      </w:r>
    </w:p>
    <w:p>
      <w:pPr>
        <w:pStyle w:val="Normal"/>
        <w:rPr>
          <w:sz w:val="24"/>
        </w:rPr>
      </w:pPr>
      <w:r>
        <w:rPr>
          <w:sz w:val="24"/>
        </w:rPr>
      </w:r>
    </w:p>
    <w:p>
      <w:pPr>
        <w:pStyle w:val="Normal"/>
        <w:rPr>
          <w:sz w:val="24"/>
        </w:rPr>
      </w:pPr>
      <w:r>
        <w:rPr>
          <w:sz w:val="24"/>
        </w:rPr>
        <w:t>While all sectors of supply will benefit from the recommendations, the big winner is the nuclear industry. Reversing a 20-year plus trend the policy document is a clear endorsement of nuclear as a solution to America’s long-term energy needs. Citing the emissions benefits and safety success of nuclear energy in countries such as France and Japan, the Administration will be developing a comprehensive approach to the re-development of the nuclear sector in the US.</w:t>
      </w:r>
    </w:p>
    <w:p>
      <w:pPr>
        <w:pStyle w:val="Normal"/>
        <w:rPr>
          <w:sz w:val="24"/>
        </w:rPr>
      </w:pPr>
      <w:r>
        <w:rPr>
          <w:sz w:val="24"/>
        </w:rPr>
      </w:r>
    </w:p>
    <w:p>
      <w:pPr>
        <w:pStyle w:val="Normal"/>
        <w:rPr>
          <w:sz w:val="24"/>
        </w:rPr>
      </w:pPr>
      <w:r>
        <w:rPr>
          <w:sz w:val="24"/>
        </w:rPr>
        <w:t>Key recommendations in this area include:</w:t>
      </w:r>
    </w:p>
    <w:p>
      <w:pPr>
        <w:pStyle w:val="Normal"/>
        <w:rPr>
          <w:sz w:val="24"/>
        </w:rPr>
      </w:pPr>
      <w:r>
        <w:rPr>
          <w:sz w:val="24"/>
        </w:rPr>
      </w:r>
    </w:p>
    <w:p>
      <w:pPr>
        <w:pStyle w:val="Normal"/>
        <w:numPr>
          <w:ilvl w:val="0"/>
          <w:numId w:val="3"/>
        </w:numPr>
        <w:rPr>
          <w:sz w:val="24"/>
        </w:rPr>
      </w:pPr>
      <w:r>
        <w:rPr>
          <w:sz w:val="24"/>
        </w:rPr>
        <w:t>That the President direct the Secretary of the Interior to examine land status and lease stipulation impediments to federal oil and gas leasing, and review and modify those were opportunities exist.</w:t>
      </w:r>
    </w:p>
    <w:p>
      <w:pPr>
        <w:pStyle w:val="Normal"/>
        <w:numPr>
          <w:ilvl w:val="0"/>
          <w:numId w:val="3"/>
        </w:numPr>
        <w:rPr>
          <w:sz w:val="24"/>
        </w:rPr>
      </w:pPr>
      <w:r>
        <w:rPr>
          <w:sz w:val="24"/>
        </w:rPr>
        <w:t xml:space="preserve">That the President direct the Secretary of the Interior to work with Congress to authorize exploration and if resources are discovered, development of the 1002 Area of the Alaska National Wildlife Reserve (ANWR). </w:t>
      </w:r>
    </w:p>
    <w:p>
      <w:pPr>
        <w:pStyle w:val="Normal"/>
        <w:numPr>
          <w:ilvl w:val="0"/>
          <w:numId w:val="3"/>
        </w:numPr>
        <w:rPr>
          <w:sz w:val="24"/>
        </w:rPr>
      </w:pPr>
      <w:r>
        <w:rPr>
          <w:sz w:val="24"/>
        </w:rPr>
        <w:t>That the President direct the Secretary of Energy to propose comprehensive electricity legislation that promotes competition, protects consumers, enhances reliability, promotes renewable energy, improves efficiency, repeals the Public Utility Holding Company Act, and reforms the Public Regulatory Policies Act.</w:t>
      </w:r>
    </w:p>
    <w:p>
      <w:pPr>
        <w:pStyle w:val="Normal"/>
        <w:numPr>
          <w:ilvl w:val="0"/>
          <w:numId w:val="3"/>
        </w:numPr>
        <w:rPr>
          <w:sz w:val="24"/>
        </w:rPr>
      </w:pPr>
      <w:r>
        <w:rPr>
          <w:sz w:val="24"/>
        </w:rPr>
        <w:t>That the President encourage FERC to use it’s existing statutory authority to promote competition and encourage investment in transmission facilities.</w:t>
      </w:r>
    </w:p>
    <w:p>
      <w:pPr>
        <w:pStyle w:val="Normal"/>
        <w:numPr>
          <w:ilvl w:val="0"/>
          <w:numId w:val="3"/>
        </w:numPr>
        <w:rPr>
          <w:sz w:val="24"/>
        </w:rPr>
      </w:pPr>
      <w:r>
        <w:rPr>
          <w:sz w:val="24"/>
        </w:rPr>
        <w:t>That the President direct the Department of Energy to continue to develop advanced clean coal technology by investing $2 billion over 10 years to fund research, supporting a permanent extension of the research and development tax credit, and by exploring regulatory approaches that will encourage advancements in environmental technologies.</w:t>
      </w:r>
    </w:p>
    <w:p>
      <w:pPr>
        <w:pStyle w:val="Normal"/>
        <w:numPr>
          <w:ilvl w:val="0"/>
          <w:numId w:val="3"/>
        </w:numPr>
        <w:rPr>
          <w:sz w:val="24"/>
        </w:rPr>
      </w:pPr>
      <w:r>
        <w:rPr>
          <w:sz w:val="24"/>
        </w:rPr>
        <w:t>That the President support the expansion of nuclear energy in the United States as a major component of our national energy policy by encouraging the Nuclear Regulatory Commission to facilitate efforts by utilities to expand nuclear energy generation in the US by upgrading existing nuclear plants and to re-license existing nuclear plants.</w:t>
      </w:r>
    </w:p>
    <w:p>
      <w:pPr>
        <w:pStyle w:val="Normal"/>
        <w:numPr>
          <w:ilvl w:val="0"/>
          <w:numId w:val="3"/>
        </w:numPr>
        <w:rPr>
          <w:sz w:val="24"/>
        </w:rPr>
      </w:pPr>
      <w:r>
        <w:rPr>
          <w:sz w:val="24"/>
        </w:rPr>
        <w:t xml:space="preserve">That the President direct the Secretary of the Treasury to work with Congress on legislation to extend and expand tax credits for electricity produced using wind and biomass including forest-related sources, agricultural sources and certain urban sources and electricity produced from biomass co-fired with coal. </w:t>
      </w:r>
    </w:p>
    <w:p>
      <w:pPr>
        <w:pStyle w:val="Normal"/>
        <w:numPr>
          <w:ilvl w:val="0"/>
          <w:numId w:val="3"/>
        </w:numPr>
        <w:rPr>
          <w:sz w:val="24"/>
        </w:rPr>
      </w:pPr>
      <w:r>
        <w:rPr>
          <w:sz w:val="24"/>
        </w:rPr>
        <w:t>That the President direct the Secretary of the Treasury to provide a new 15 percent tax credit for residential solar energy property up to a maximum credit of $2,000.</w:t>
      </w:r>
    </w:p>
    <w:p>
      <w:pPr>
        <w:pStyle w:val="Normal"/>
        <w:numPr>
          <w:ilvl w:val="0"/>
          <w:numId w:val="3"/>
        </w:numPr>
        <w:rPr>
          <w:sz w:val="24"/>
        </w:rPr>
      </w:pPr>
      <w:r>
        <w:rPr>
          <w:sz w:val="24"/>
        </w:rPr>
        <w:t>That the President direct the Secretaries of the Interior and Energy to work with Congress on legislation to use an estimated $1.2 billion of bid bonuses from the leasing of ANWR for funding research into alternative and renewable energy resources.</w:t>
      </w:r>
    </w:p>
    <w:p>
      <w:pPr>
        <w:pStyle w:val="Normal"/>
        <w:numPr>
          <w:ilvl w:val="0"/>
          <w:numId w:val="3"/>
        </w:numPr>
        <w:rPr>
          <w:sz w:val="24"/>
        </w:rPr>
      </w:pPr>
      <w:r>
        <w:rPr>
          <w:sz w:val="24"/>
        </w:rPr>
        <w:t>That the President direct the Secretaries of State and Energy to engage in a dialogue through the North American Energy Working Group to develop closer energy integration among Canada, Mexico and the United States.</w:t>
      </w:r>
    </w:p>
    <w:p>
      <w:pPr>
        <w:pStyle w:val="Normal"/>
        <w:rPr>
          <w:sz w:val="24"/>
        </w:rPr>
      </w:pPr>
      <w:r>
        <w:rPr>
          <w:sz w:val="24"/>
        </w:rPr>
      </w:r>
    </w:p>
    <w:p>
      <w:pPr>
        <w:pStyle w:val="Heading1"/>
        <w:ind w:hanging="0" w:start="0"/>
        <w:rPr/>
      </w:pPr>
      <w:r>
        <w:rPr/>
        <w:t>Infrastructure</w:t>
      </w:r>
    </w:p>
    <w:p>
      <w:pPr>
        <w:pStyle w:val="Normal"/>
        <w:rPr>
          <w:sz w:val="24"/>
        </w:rPr>
      </w:pPr>
      <w:r>
        <w:rPr>
          <w:sz w:val="24"/>
        </w:rPr>
      </w:r>
    </w:p>
    <w:p>
      <w:pPr>
        <w:pStyle w:val="Normal"/>
        <w:rPr>
          <w:sz w:val="24"/>
        </w:rPr>
      </w:pPr>
      <w:r>
        <w:rPr>
          <w:sz w:val="24"/>
        </w:rPr>
        <w:t xml:space="preserve">The challenge of bringing producers and consumers together may be the Administration’s most immediate priority. US infrastructure – generation, transmission and distribution has failed to keep pace with the changing requirements of the energy system. Over the next 25-years the estimates are that the US will need to construct on average 64 new electricity generating plants per year, construct an additional 38,000 miles of transmission pipeline and erect 255,000 miles of electricity distribution lines to meet expected levels of demand. This will require capital investments of between $120 – 150 billion. </w:t>
      </w:r>
    </w:p>
    <w:p>
      <w:pPr>
        <w:pStyle w:val="Normal"/>
        <w:rPr>
          <w:sz w:val="24"/>
        </w:rPr>
      </w:pPr>
      <w:r>
        <w:rPr>
          <w:sz w:val="24"/>
        </w:rPr>
        <w:t xml:space="preserve"> </w:t>
      </w:r>
    </w:p>
    <w:p>
      <w:pPr>
        <w:pStyle w:val="Normal"/>
        <w:rPr>
          <w:sz w:val="24"/>
        </w:rPr>
      </w:pPr>
      <w:r>
        <w:rPr>
          <w:sz w:val="24"/>
        </w:rPr>
        <w:t>Key recommendations in this area include:</w:t>
      </w:r>
    </w:p>
    <w:p>
      <w:pPr>
        <w:pStyle w:val="Normal"/>
        <w:rPr>
          <w:sz w:val="24"/>
        </w:rPr>
      </w:pPr>
      <w:r>
        <w:rPr>
          <w:sz w:val="24"/>
        </w:rPr>
      </w:r>
    </w:p>
    <w:p>
      <w:pPr>
        <w:pStyle w:val="Normal"/>
        <w:numPr>
          <w:ilvl w:val="0"/>
          <w:numId w:val="3"/>
        </w:numPr>
        <w:rPr>
          <w:sz w:val="24"/>
        </w:rPr>
      </w:pPr>
      <w:r>
        <w:rPr>
          <w:sz w:val="24"/>
        </w:rPr>
        <w:t>That the President direct the Secretary of Energy to work with FERC to improve the reliability of the interstate transmission system and to develop legislation providing for enforcement by a self-regulating organization subject to FERC oversight.</w:t>
      </w:r>
    </w:p>
    <w:p>
      <w:pPr>
        <w:pStyle w:val="Normal"/>
        <w:numPr>
          <w:ilvl w:val="0"/>
          <w:numId w:val="3"/>
        </w:numPr>
        <w:rPr>
          <w:sz w:val="24"/>
        </w:rPr>
      </w:pPr>
      <w:r>
        <w:rPr>
          <w:sz w:val="24"/>
        </w:rPr>
        <w:t>That the President direct the Secretary of Energy to examine and report by December 31, 2001 on the benefits of establishing a national transmission grid, identifying bottlenecks and measures necessary to improve them.</w:t>
      </w:r>
    </w:p>
    <w:p>
      <w:pPr>
        <w:pStyle w:val="Normal"/>
        <w:numPr>
          <w:ilvl w:val="0"/>
          <w:numId w:val="3"/>
        </w:numPr>
        <w:rPr>
          <w:sz w:val="24"/>
        </w:rPr>
      </w:pPr>
      <w:r>
        <w:rPr>
          <w:sz w:val="24"/>
        </w:rPr>
        <w:t>That the President direct the Secretary of Energy to develop legislation to grant authority to obtain rights-of-way for electricity transmission lines. Similar authority already exists for natural gas pipelines.</w:t>
      </w:r>
    </w:p>
    <w:p>
      <w:pPr>
        <w:pStyle w:val="Normal"/>
        <w:numPr>
          <w:ilvl w:val="0"/>
          <w:numId w:val="3"/>
        </w:numPr>
        <w:rPr>
          <w:sz w:val="24"/>
        </w:rPr>
      </w:pPr>
      <w:r>
        <w:rPr>
          <w:sz w:val="24"/>
        </w:rPr>
        <w:t>That the President direct the Secretary of the Interior to work with Congress and the State of Alaska to put in place the most expeditious process for renewal of the Trans-Alaska Pipeline System rights-of-way to ensure that Alaskan oil continues to flow uninterrupted to the West Coast of the United States.</w:t>
      </w:r>
    </w:p>
    <w:p>
      <w:pPr>
        <w:pStyle w:val="Normal"/>
        <w:numPr>
          <w:ilvl w:val="0"/>
          <w:numId w:val="3"/>
        </w:numPr>
        <w:rPr>
          <w:sz w:val="24"/>
        </w:rPr>
      </w:pPr>
      <w:r>
        <w:rPr>
          <w:sz w:val="24"/>
        </w:rPr>
        <w:t>That the President direct the Secretaries of Energy and State co-ordinating with the Secretary of the Interior and FERC, to work closely with Canada, the State of Alaska and all other interested parties to expedite the construction of a pipeline to deliver natural gas to the lower 48 states.</w:t>
      </w:r>
    </w:p>
    <w:p>
      <w:pPr>
        <w:pStyle w:val="Normal"/>
        <w:numPr>
          <w:ilvl w:val="0"/>
          <w:numId w:val="3"/>
        </w:numPr>
        <w:rPr>
          <w:sz w:val="24"/>
        </w:rPr>
      </w:pPr>
      <w:r>
        <w:rPr>
          <w:sz w:val="24"/>
        </w:rPr>
        <w:t xml:space="preserve">That the President direct the EPA and Secretary of Energy to take steps to ensure America has adequate refining capacity by providing more regulatory certainty to refinery owners and streamline the permitting process where possible to ensure the regulatory overlap is limited.  </w:t>
      </w:r>
    </w:p>
    <w:p>
      <w:pPr>
        <w:pStyle w:val="Normal"/>
        <w:rPr>
          <w:sz w:val="24"/>
        </w:rPr>
      </w:pPr>
      <w:r>
        <w:rPr>
          <w:sz w:val="24"/>
        </w:rPr>
      </w:r>
    </w:p>
    <w:p>
      <w:pPr>
        <w:pStyle w:val="Heading1"/>
        <w:ind w:hanging="0" w:start="0"/>
        <w:rPr/>
      </w:pPr>
      <w:r>
        <w:rPr/>
        <w:t>Alternative Solutions: the Democratic Response</w:t>
      </w:r>
    </w:p>
    <w:p>
      <w:pPr>
        <w:pStyle w:val="Normal"/>
        <w:rPr>
          <w:sz w:val="24"/>
        </w:rPr>
      </w:pPr>
      <w:r>
        <w:rPr>
          <w:sz w:val="24"/>
        </w:rPr>
      </w:r>
    </w:p>
    <w:p>
      <w:pPr>
        <w:pStyle w:val="Normal"/>
        <w:rPr>
          <w:sz w:val="24"/>
        </w:rPr>
      </w:pPr>
      <w:r>
        <w:rPr>
          <w:sz w:val="24"/>
        </w:rPr>
        <w:t>And while the plan has placed a greater emphasis on demand-side solutions – including language that would appear to favor ordering the auto industry to raise fuel efficiency standards, many of the 105 recommendations are certain to be controversial and irritate both Congressional Democrats and the environmental movement.</w:t>
      </w:r>
    </w:p>
    <w:p>
      <w:pPr>
        <w:pStyle w:val="Normal"/>
        <w:rPr>
          <w:sz w:val="24"/>
        </w:rPr>
      </w:pPr>
      <w:r>
        <w:rPr>
          <w:sz w:val="24"/>
        </w:rPr>
      </w:r>
    </w:p>
    <w:p>
      <w:pPr>
        <w:pStyle w:val="Normal"/>
        <w:rPr>
          <w:sz w:val="24"/>
        </w:rPr>
      </w:pPr>
      <w:r>
        <w:rPr>
          <w:sz w:val="24"/>
        </w:rPr>
        <w:t xml:space="preserve">As a result the President can expect a fight in the House and the Senate. Senate Minority Leader Tom Daschle of South Dakota in responding to the President’s speech on Thursday dredged up the name of former Interior Secretary James Watt stating that the President’s policies were similar to the solutions of past Republican administrations. “It’s a reliance on the old ways – more supply with little emphasis or concern for demand side management and the environment.” </w:t>
      </w:r>
    </w:p>
    <w:p>
      <w:pPr>
        <w:pStyle w:val="Normal"/>
        <w:rPr>
          <w:sz w:val="24"/>
        </w:rPr>
      </w:pPr>
      <w:r>
        <w:rPr>
          <w:sz w:val="24"/>
        </w:rPr>
      </w:r>
    </w:p>
    <w:p>
      <w:pPr>
        <w:pStyle w:val="Normal"/>
        <w:rPr>
          <w:sz w:val="24"/>
        </w:rPr>
      </w:pPr>
      <w:r>
        <w:rPr>
          <w:sz w:val="24"/>
        </w:rPr>
        <w:t>Senator Daschle’s comments echo those of his colleague House Minority Leader Richard Gephardt of Missouri who in unveiling the Democrats energy blueprint last week stated that “We can have adequate supplies of energy and save our environment at the same time. We don’t have to just drill our way out of this problem.”</w:t>
      </w:r>
    </w:p>
    <w:p>
      <w:pPr>
        <w:pStyle w:val="Normal"/>
        <w:rPr>
          <w:sz w:val="24"/>
        </w:rPr>
      </w:pPr>
      <w:r>
        <w:rPr>
          <w:sz w:val="24"/>
        </w:rPr>
      </w:r>
    </w:p>
    <w:p>
      <w:pPr>
        <w:pStyle w:val="Normal"/>
        <w:rPr>
          <w:sz w:val="24"/>
        </w:rPr>
      </w:pPr>
      <w:r>
        <w:rPr>
          <w:sz w:val="24"/>
        </w:rPr>
        <w:t>In the end if the American people want to maintain there current level of energy consumption they are going to have to make some tradeoffs. The Bush Administration through this policy document has tried to balance all the interests going much further than most analysts would have expected in addressing demand-side and environmental concerns. While still not far enough for the Democrats and environmentalists, it is a significant change from the statements made by the Vice President during his appearance before the Associated Press annual meeting in Toronto two weeks ago. And if there was any surprise in yesterday’s announcement it is probably in this area.</w:t>
      </w:r>
    </w:p>
    <w:p>
      <w:pPr>
        <w:pStyle w:val="Normal"/>
        <w:rPr>
          <w:sz w:val="24"/>
        </w:rPr>
      </w:pPr>
      <w:r>
        <w:rPr>
          <w:sz w:val="24"/>
        </w:rPr>
      </w:r>
    </w:p>
    <w:p>
      <w:pPr>
        <w:pStyle w:val="Heading1"/>
        <w:ind w:hanging="0" w:start="0"/>
        <w:rPr/>
      </w:pPr>
      <w:r>
        <w:rPr/>
        <w:t>Implications for the Canadian Industry</w:t>
      </w:r>
    </w:p>
    <w:p>
      <w:pPr>
        <w:pStyle w:val="Normal"/>
        <w:rPr>
          <w:sz w:val="24"/>
        </w:rPr>
      </w:pPr>
      <w:r>
        <w:rPr>
          <w:sz w:val="24"/>
        </w:rPr>
      </w:r>
    </w:p>
    <w:p>
      <w:pPr>
        <w:pStyle w:val="BodyText"/>
        <w:rPr/>
      </w:pPr>
      <w:r>
        <w:rPr/>
        <w:t>So what are the implications for the Canadian energy sector? Well not much has changed since this past April when GPC International hosted a panel discussion at the Calgary Chamber of Commerce in which the panelists – former Congressman Bill Brewster and Rod Chandler of the United States, former Canadian Energy Minister Otto Lang and Mexican Public Affairs consultant Flavio Diaz, unanimously felt that the Canadian energy industry had the most to gain through investments in domestic projects and opportunities in the US.</w:t>
      </w:r>
    </w:p>
    <w:p>
      <w:pPr>
        <w:pStyle w:val="BodyText"/>
        <w:rPr/>
      </w:pPr>
      <w:r>
        <w:rPr/>
      </w:r>
    </w:p>
    <w:p>
      <w:pPr>
        <w:pStyle w:val="BodyText"/>
        <w:rPr/>
      </w:pPr>
      <w:r>
        <w:rPr/>
        <w:t>The Bush policy recognizes the important role Canada can play especially in providing additional supply to the lower 48 states. Priority investment areas for the Canadian industry will continue to focus on the development of the tar sands and the construction of a natural gas pipeline to ship supply from Alaska and the Northwest Territories south, but other energy sectors also see promise in yesterday’s policy announcement. The Canadian Electricity Association is encouraged by the direction of the report particularly the prominence given to the need for improvements to the US transmission grid. CEA President Hans Konow noted that “CEA takes the view that further integration of North American electricity systems will benefit consumers both in Canada and in the US through enhanced availability of power and improved reliability of the system."</w:t>
      </w:r>
    </w:p>
    <w:p>
      <w:pPr>
        <w:pStyle w:val="BodyText"/>
        <w:rPr/>
      </w:pPr>
      <w:r>
        <w:rPr/>
      </w:r>
    </w:p>
    <w:p>
      <w:pPr>
        <w:pStyle w:val="BodyText"/>
        <w:rPr/>
      </w:pPr>
      <w:r>
        <w:rPr/>
        <w:t xml:space="preserve">And, while much of the attention has been focused on exploration and development opportunities in Alberta and the North, the Bush policy should also increase investment in and accelerate the development of the east-coast’s gas reserves. The rapid expansion of existing natural gas operations off the coast of Nova Scotia and Sable Island is likely with capital being put against increased extraction and transportation projects.  </w:t>
      </w:r>
    </w:p>
    <w:p>
      <w:pPr>
        <w:pStyle w:val="BodyText"/>
        <w:rPr/>
      </w:pPr>
      <w:r>
        <w:rPr/>
      </w:r>
    </w:p>
    <w:p>
      <w:pPr>
        <w:pStyle w:val="BodyText"/>
        <w:rPr>
          <w:u w:val="single"/>
        </w:rPr>
      </w:pPr>
      <w:r>
        <w:rPr>
          <w:u w:val="single"/>
        </w:rPr>
        <w:t>Conclusion</w:t>
      </w:r>
    </w:p>
    <w:p>
      <w:pPr>
        <w:pStyle w:val="BodyText"/>
        <w:rPr>
          <w:u w:val="single"/>
        </w:rPr>
      </w:pPr>
      <w:r>
        <w:rPr>
          <w:u w:val="single"/>
        </w:rPr>
      </w:r>
    </w:p>
    <w:p>
      <w:pPr>
        <w:pStyle w:val="BodyText"/>
        <w:rPr/>
      </w:pPr>
      <w:r>
        <w:rPr/>
        <w:t xml:space="preserve">After three decades, energy has once again returned as a major political issue in the United States. The unveiling of yesterday’s report is a first step by the Bush Administration to address the long-term energy issues that confront Americans. The plan does not contain a series of short-term fixes, instead it lays out a strategy that addresses the fundamental structural problems that have been allowed to develop due decades of neglect by previous administrations – both Republican and Democrat.   </w:t>
      </w:r>
    </w:p>
    <w:p>
      <w:pPr>
        <w:pStyle w:val="Header"/>
        <w:tabs>
          <w:tab w:val="clear" w:pos="4320"/>
          <w:tab w:val="clear" w:pos="8640"/>
        </w:tabs>
        <w:spacing w:lineRule="exact" w:line="300"/>
        <w:rPr>
          <w:sz w:val="24"/>
        </w:rPr>
      </w:pPr>
      <w:r>
        <w:rPr>
          <w:sz w:val="24"/>
        </w:rPr>
      </w:r>
    </w:p>
    <w:p>
      <w:pPr>
        <w:pStyle w:val="Header"/>
        <w:tabs>
          <w:tab w:val="clear" w:pos="4320"/>
          <w:tab w:val="clear" w:pos="8640"/>
        </w:tabs>
        <w:spacing w:lineRule="exact" w:line="300"/>
        <w:rPr>
          <w:sz w:val="24"/>
        </w:rPr>
      </w:pPr>
      <w:r>
        <w:rPr>
          <w:sz w:val="24"/>
        </w:rPr>
      </w:r>
    </w:p>
    <w:p>
      <w:pPr>
        <w:pStyle w:val="Header"/>
        <w:tabs>
          <w:tab w:val="clear" w:pos="4320"/>
          <w:tab w:val="clear" w:pos="8640"/>
        </w:tabs>
        <w:spacing w:lineRule="exact" w:line="300"/>
        <w:rPr>
          <w:sz w:val="24"/>
        </w:rPr>
      </w:pPr>
      <w:r>
        <w:rPr>
          <w:sz w:val="24"/>
        </w:rPr>
      </w:r>
    </w:p>
    <w:p>
      <w:pPr>
        <w:pStyle w:val="Header"/>
        <w:tabs>
          <w:tab w:val="clear" w:pos="4320"/>
          <w:tab w:val="clear" w:pos="8640"/>
        </w:tabs>
        <w:spacing w:lineRule="exact" w:line="300"/>
        <w:rPr>
          <w:sz w:val="24"/>
        </w:rPr>
      </w:pPr>
      <w:r>
        <w:rPr>
          <w:sz w:val="24"/>
        </w:rPr>
      </w:r>
    </w:p>
    <w:sectPr>
      <w:headerReference w:type="default" r:id="rId2"/>
      <w:headerReference w:type="first" r:id="rId3"/>
      <w:footerReference w:type="default" r:id="rId4"/>
      <w:footerReference w:type="first" r:id="rId5"/>
      <w:type w:val="nextPage"/>
      <w:pgSz w:w="12240" w:h="15840"/>
      <w:pgMar w:left="1380" w:right="1440" w:gutter="0" w:header="720" w:top="3240" w:footer="720" w:bottom="13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rStyle w:val="PageNumber"/>
        <w:sz w:val="24"/>
      </w:rPr>
      <w:tab/>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11">
              <wp:simplePos x="0" y="0"/>
              <wp:positionH relativeFrom="page">
                <wp:posOffset>5389245</wp:posOffset>
              </wp:positionH>
              <wp:positionV relativeFrom="page">
                <wp:posOffset>9729470</wp:posOffset>
              </wp:positionV>
              <wp:extent cx="1554480" cy="182880"/>
              <wp:effectExtent l="0" t="0" r="0" b="0"/>
              <wp:wrapNone/>
              <wp:docPr id="5" name="Frame2"/>
              <a:graphic xmlns:a="http://schemas.openxmlformats.org/drawingml/2006/main">
                <a:graphicData uri="http://schemas.microsoft.com/office/word/2010/wordprocessingShape">
                  <wps:wsp>
                    <wps:cNvSpPr txBox="1"/>
                    <wps:spPr>
                      <a:xfrm>
                        <a:off x="0" y="0"/>
                        <a:ext cx="1554480" cy="182880"/>
                      </a:xfrm>
                      <a:prstGeom prst="rect"/>
                      <a:solidFill>
                        <a:srgbClr val="FFFFFF"/>
                      </a:solidFill>
                    </wps:spPr>
                    <wps:txbx>
                      <w:txbxContent>
                        <w:p>
                          <w:pPr>
                            <w:pStyle w:val="Normal"/>
                            <w:jc w:val="end"/>
                            <w:rPr>
                              <w:rFonts w:ascii="Arial Narrow" w:hAnsi="Arial Narrow" w:cs="Arial Narrow"/>
                              <w:sz w:val="16"/>
                            </w:rPr>
                          </w:pPr>
                          <w:r>
                            <w:rPr>
                              <w:rFonts w:cs="Arial Narrow" w:ascii="Arial Narrow" w:hAnsi="Arial Narrow"/>
                              <w:sz w:val="16"/>
                            </w:rPr>
                            <w:t>A Fleishman-Hillard Company</w:t>
                          </w:r>
                        </w:p>
                      </w:txbxContent>
                    </wps:txbx>
                    <wps:bodyPr anchor="t" lIns="635" tIns="635" rIns="635" bIns="635">
                      <a:noAutofit/>
                    </wps:bodyPr>
                  </wps:wsp>
                </a:graphicData>
              </a:graphic>
            </wp:anchor>
          </w:drawing>
        </mc:Choice>
        <mc:Fallback>
          <w:pict>
            <v:rect fillcolor="#FFFFFF" style="position:absolute;rotation:-0;width:122.4pt;height:14.4pt;mso-wrap-distance-left:9.05pt;mso-wrap-distance-right:9.05pt;mso-wrap-distance-top:0pt;mso-wrap-distance-bottom:0pt;margin-top:766.1pt;mso-position-vertical-relative:page;margin-left:424.35pt;mso-position-horizontal-relative:page">
              <v:textbox inset="0.000694444444444445in,0.000694444444444445in,0.000694444444444445in,0.000694444444444445in">
                <w:txbxContent>
                  <w:p>
                    <w:pPr>
                      <w:pStyle w:val="Normal"/>
                      <w:jc w:val="end"/>
                      <w:rPr>
                        <w:rFonts w:ascii="Arial Narrow" w:hAnsi="Arial Narrow" w:cs="Arial Narrow"/>
                        <w:sz w:val="16"/>
                      </w:rPr>
                    </w:pPr>
                    <w:r>
                      <w:rPr>
                        <w:rFonts w:cs="Arial Narrow" w:ascii="Arial Narrow" w:hAnsi="Arial Narrow"/>
                        <w:sz w:val="16"/>
                      </w:rPr>
                      <w:t>A Fleishman-Hillard Company</w:t>
                    </w:r>
                  </w:p>
                </w:txbxContent>
              </v:textbox>
              <w10:wrap type="none"/>
            </v:rect>
          </w:pict>
        </mc:Fallback>
      </mc:AlternateContent>
    </w:r>
    <w:r>
      <mc:AlternateContent>
        <mc:Choice Requires="wps">
          <w:drawing>
            <wp:anchor behindDoc="1" distT="0" distB="0" distL="114935" distR="114935" simplePos="0" locked="0" layoutInCell="1" allowOverlap="1" relativeHeight="12">
              <wp:simplePos x="0" y="0"/>
              <wp:positionH relativeFrom="column">
                <wp:posOffset>-106680</wp:posOffset>
              </wp:positionH>
              <wp:positionV relativeFrom="page">
                <wp:posOffset>9441180</wp:posOffset>
              </wp:positionV>
              <wp:extent cx="6362700" cy="251460"/>
              <wp:effectExtent l="0" t="0" r="0" b="0"/>
              <wp:wrapNone/>
              <wp:docPr id="6" name="Frame1"/>
              <a:graphic xmlns:a="http://schemas.openxmlformats.org/drawingml/2006/main">
                <a:graphicData uri="http://schemas.microsoft.com/office/word/2010/wordprocessingShape">
                  <wps:wsp>
                    <wps:cNvSpPr txBox="1"/>
                    <wps:spPr>
                      <a:xfrm>
                        <a:off x="0" y="0"/>
                        <a:ext cx="6362700" cy="251460"/>
                      </a:xfrm>
                      <a:prstGeom prst="rect"/>
                      <a:solidFill>
                        <a:srgbClr val="FFFFFF"/>
                      </a:solidFill>
                    </wps:spPr>
                    <wps:txbx>
                      <w:txbxContent>
                        <w:p>
                          <w:pPr>
                            <w:pStyle w:val="Normal"/>
                            <w:rPr>
                              <w:rFonts w:ascii="Arial Narrow" w:hAnsi="Arial Narrow" w:cs="Arial Narrow"/>
                              <w:sz w:val="16"/>
                            </w:rPr>
                          </w:pPr>
                          <w:r>
                            <w:rPr>
                              <w:rFonts w:cs="Arial Narrow" w:ascii="Arial Narrow" w:hAnsi="Arial Narrow"/>
                              <w:sz w:val="16"/>
                            </w:rPr>
                            <w:t>USA                                       Canada                                      Europe                                      Asia                                      Latin America                                      Africa</w:t>
                          </w:r>
                        </w:p>
                      </w:txbxContent>
                    </wps:txbx>
                    <wps:bodyPr anchor="t" lIns="92075" tIns="46355" rIns="92075" bIns="46355">
                      <a:noAutofit/>
                    </wps:bodyPr>
                  </wps:wsp>
                </a:graphicData>
              </a:graphic>
            </wp:anchor>
          </w:drawing>
        </mc:Choice>
        <mc:Fallback>
          <w:pict>
            <v:rect fillcolor="#FFFFFF" style="position:absolute;rotation:-0;width:501pt;height:19.8pt;mso-wrap-distance-left:9.05pt;mso-wrap-distance-right:9.05pt;mso-wrap-distance-top:0pt;mso-wrap-distance-bottom:0pt;margin-top:743.4pt;mso-position-vertical-relative:page;margin-left:-8.4pt;mso-position-horizontal-relative:text">
              <v:textbox inset="0.100694444444444in,0.0506944444444444in,0.100694444444444in,0.0506944444444444in">
                <w:txbxContent>
                  <w:p>
                    <w:pPr>
                      <w:pStyle w:val="Normal"/>
                      <w:rPr>
                        <w:rFonts w:ascii="Arial Narrow" w:hAnsi="Arial Narrow" w:cs="Arial Narrow"/>
                        <w:sz w:val="16"/>
                      </w:rPr>
                    </w:pPr>
                    <w:r>
                      <w:rPr>
                        <w:rFonts w:cs="Arial Narrow" w:ascii="Arial Narrow" w:hAnsi="Arial Narrow"/>
                        <w:sz w:val="16"/>
                      </w:rPr>
                      <w:t>USA                                       Canada                                      Europe                                      Asia                                      Latin America                                      Africa</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10">
              <wp:simplePos x="0" y="0"/>
              <wp:positionH relativeFrom="page">
                <wp:posOffset>876300</wp:posOffset>
              </wp:positionH>
              <wp:positionV relativeFrom="page">
                <wp:posOffset>754380</wp:posOffset>
              </wp:positionV>
              <wp:extent cx="1775460" cy="342900"/>
              <wp:effectExtent l="0" t="0" r="0" b="0"/>
              <wp:wrapNone/>
              <wp:docPr id="1" name="Frame6"/>
              <a:graphic xmlns:a="http://schemas.openxmlformats.org/drawingml/2006/main">
                <a:graphicData uri="http://schemas.microsoft.com/office/word/2010/wordprocessingShape">
                  <wps:wsp>
                    <wps:cNvSpPr txBox="1"/>
                    <wps:spPr>
                      <a:xfrm>
                        <a:off x="0" y="0"/>
                        <a:ext cx="1775460" cy="342900"/>
                      </a:xfrm>
                      <a:prstGeom prst="rect"/>
                      <a:solidFill>
                        <a:srgbClr val="FFFFFF"/>
                      </a:solidFill>
                    </wps:spPr>
                    <wps:txbx>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wps:txbx>
                    <wps:bodyPr anchor="t" lIns="635" tIns="46355" rIns="92075" bIns="46355">
                      <a:noAutofit/>
                    </wps:bodyPr>
                  </wps:wsp>
                </a:graphicData>
              </a:graphic>
            </wp:anchor>
          </w:drawing>
        </mc:Choice>
        <mc:Fallback>
          <w:pict>
            <v:rect fillcolor="#FFFFFF" style="position:absolute;rotation:-0;width:139.8pt;height:27pt;mso-wrap-distance-left:9.05pt;mso-wrap-distance-right:9.05pt;mso-wrap-distance-top:0pt;mso-wrap-distance-bottom:0pt;margin-top:59.4pt;mso-position-vertical-relative:page;margin-left:69pt;mso-position-horizontal-relative:page">
              <v:textbox inset="0.000694444444444445in,0.0506944444444444in,0.100694444444444in,0.0506944444444444in">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object w:dxaOrig="1221" w:dyaOrig="98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15pt;margin-top:41.2pt;width:61.1pt;height:49.5pt;mso-wrap-distance-left:9.05pt;mso-wrap-distance-right:9.05pt;mso-position-horizontal-relative:page;mso-position-vertical-relative:page" filled="f" o:ole="">
          <v:imagedata r:id="rId2" o:title=""/>
        </v:shape>
        <o:OLEObject Type="Embed" ProgID="" ShapeID="ole_rId1" DrawAspect="Content" ObjectID="_579928485" r:id="rId1"/>
      </w:object>
    </w:r>
    <w:r>
      <mc:AlternateContent>
        <mc:Choice Requires="wps">
          <w:drawing>
            <wp:anchor behindDoc="1" distT="0" distB="0" distL="114935" distR="114935" simplePos="0" locked="0" layoutInCell="0" allowOverlap="1" relativeHeight="3">
              <wp:simplePos x="0" y="0"/>
              <wp:positionH relativeFrom="page">
                <wp:posOffset>1726565</wp:posOffset>
              </wp:positionH>
              <wp:positionV relativeFrom="page">
                <wp:posOffset>668020</wp:posOffset>
              </wp:positionV>
              <wp:extent cx="1839595" cy="342900"/>
              <wp:effectExtent l="0" t="0" r="0" b="0"/>
              <wp:wrapNone/>
              <wp:docPr id="2" name="Frame4"/>
              <a:graphic xmlns:a="http://schemas.openxmlformats.org/drawingml/2006/main">
                <a:graphicData uri="http://schemas.microsoft.com/office/word/2010/wordprocessingShape">
                  <wps:wsp>
                    <wps:cNvSpPr txBox="1"/>
                    <wps:spPr>
                      <a:xfrm>
                        <a:off x="0" y="0"/>
                        <a:ext cx="1839595" cy="342900"/>
                      </a:xfrm>
                      <a:prstGeom prst="rect"/>
                      <a:solidFill>
                        <a:srgbClr val="FFFFFF"/>
                      </a:solidFill>
                    </wps:spPr>
                    <wps:txbx>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wps:txbx>
                    <wps:bodyPr anchor="t" lIns="92075" tIns="46355" rIns="92075" bIns="46355">
                      <a:noAutofit/>
                    </wps:bodyPr>
                  </wps:wsp>
                </a:graphicData>
              </a:graphic>
            </wp:anchor>
          </w:drawing>
        </mc:Choice>
        <mc:Fallback>
          <w:pict>
            <v:rect fillcolor="#FFFFFF" style="position:absolute;rotation:-0;width:144.85pt;height:27pt;mso-wrap-distance-left:9.05pt;mso-wrap-distance-right:9.05pt;mso-wrap-distance-top:0pt;mso-wrap-distance-bottom:0pt;margin-top:52.6pt;mso-position-vertical-relative:page;margin-left:135.95pt;mso-position-horizontal-relative:page">
              <v:textbox inset="0.100694444444444in,0.0506944444444444in,0.100694444444444in,0.0506944444444444in">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v:textbox>
              <w10:wrap type="none"/>
            </v:rect>
          </w:pict>
        </mc:Fallback>
      </mc:AlternateContent>
    </w:r>
    <w:r>
      <mc:AlternateContent>
        <mc:Choice Requires="wps">
          <w:drawing>
            <wp:anchor behindDoc="1" distT="0" distB="0" distL="114935" distR="114935" simplePos="0" locked="0" layoutInCell="0" allowOverlap="1" relativeHeight="4">
              <wp:simplePos x="0" y="0"/>
              <wp:positionH relativeFrom="page">
                <wp:posOffset>4328160</wp:posOffset>
              </wp:positionH>
              <wp:positionV relativeFrom="page">
                <wp:posOffset>807720</wp:posOffset>
              </wp:positionV>
              <wp:extent cx="1394460" cy="640080"/>
              <wp:effectExtent l="0" t="0" r="0" b="0"/>
              <wp:wrapNone/>
              <wp:docPr id="3" name="Frame3"/>
              <a:graphic xmlns:a="http://schemas.openxmlformats.org/drawingml/2006/main">
                <a:graphicData uri="http://schemas.microsoft.com/office/word/2010/wordprocessingShape">
                  <wps:wsp>
                    <wps:cNvSpPr txBox="1"/>
                    <wps:spPr>
                      <a:xfrm>
                        <a:off x="0" y="0"/>
                        <a:ext cx="1394460" cy="640080"/>
                      </a:xfrm>
                      <a:prstGeom prst="rect"/>
                      <a:solidFill>
                        <a:srgbClr val="FFFFFF"/>
                      </a:solidFill>
                    </wps:spPr>
                    <wps:txbx>
                      <w:txbxContent>
                        <w:p>
                          <w:pPr>
                            <w:pStyle w:val="Normal"/>
                            <w:spacing w:lineRule="exact" w:line="200"/>
                            <w:rPr>
                              <w:rFonts w:ascii="Times" w:hAnsi="Times" w:cs="Times"/>
                              <w:sz w:val="18"/>
                            </w:rPr>
                          </w:pPr>
                          <w:r>
                            <w:rPr>
                              <w:rFonts w:cs="Times" w:ascii="Times" w:hAnsi="Times"/>
                              <w:sz w:val="18"/>
                            </w:rPr>
                            <w:t>200 King Street West</w:t>
                          </w:r>
                        </w:p>
                        <w:p>
                          <w:pPr>
                            <w:pStyle w:val="Normal"/>
                            <w:spacing w:lineRule="exact" w:line="200"/>
                            <w:rPr>
                              <w:rFonts w:ascii="Times" w:hAnsi="Times" w:cs="Times"/>
                              <w:sz w:val="18"/>
                            </w:rPr>
                          </w:pPr>
                          <w:r>
                            <w:rPr>
                              <w:rFonts w:cs="Times" w:ascii="Times" w:hAnsi="Times"/>
                              <w:sz w:val="18"/>
                            </w:rPr>
                            <w:t>Suite 1702, Box 21</w:t>
                          </w:r>
                        </w:p>
                        <w:p>
                          <w:pPr>
                            <w:pStyle w:val="Normal"/>
                            <w:spacing w:lineRule="exact" w:line="200"/>
                            <w:rPr>
                              <w:rFonts w:ascii="Times" w:hAnsi="Times" w:cs="Times"/>
                              <w:sz w:val="18"/>
                            </w:rPr>
                          </w:pPr>
                          <w:r>
                            <w:rPr>
                              <w:rFonts w:cs="Times" w:ascii="Times" w:hAnsi="Times"/>
                              <w:sz w:val="18"/>
                            </w:rPr>
                            <w:t>Toronto  ON   M5H 3T4</w:t>
                          </w:r>
                        </w:p>
                        <w:p>
                          <w:pPr>
                            <w:pStyle w:val="Normal"/>
                            <w:spacing w:lineRule="exact" w:line="200"/>
                            <w:rPr>
                              <w:rFonts w:ascii="Times" w:hAnsi="Times" w:cs="Times"/>
                              <w:sz w:val="18"/>
                            </w:rPr>
                          </w:pPr>
                          <w:r>
                            <w:rPr>
                              <w:rFonts w:cs="Times" w:ascii="Times" w:hAnsi="Times"/>
                              <w:sz w:val="18"/>
                            </w:rPr>
                            <w:t>Canada</w:t>
                          </w:r>
                        </w:p>
                      </w:txbxContent>
                    </wps:txbx>
                    <wps:bodyPr anchor="t" lIns="92075" tIns="46355" rIns="92075" bIns="46355">
                      <a:noAutofit/>
                    </wps:bodyPr>
                  </wps:wsp>
                </a:graphicData>
              </a:graphic>
            </wp:anchor>
          </w:drawing>
        </mc:Choice>
        <mc:Fallback>
          <w:pict>
            <v:rect fillcolor="#FFFFFF" style="position:absolute;rotation:-0;width:109.8pt;height:50.4pt;mso-wrap-distance-left:9.05pt;mso-wrap-distance-right:9.05pt;mso-wrap-distance-top:0pt;mso-wrap-distance-bottom:0pt;margin-top:63.6pt;mso-position-vertical-relative:page;margin-left:340.8pt;mso-position-horizontal-relative:page">
              <v:textbox inset="0.100694444444444in,0.0506944444444444in,0.100694444444444in,0.0506944444444444in">
                <w:txbxContent>
                  <w:p>
                    <w:pPr>
                      <w:pStyle w:val="Normal"/>
                      <w:spacing w:lineRule="exact" w:line="200"/>
                      <w:rPr>
                        <w:rFonts w:ascii="Times" w:hAnsi="Times" w:cs="Times"/>
                        <w:sz w:val="18"/>
                      </w:rPr>
                    </w:pPr>
                    <w:r>
                      <w:rPr>
                        <w:rFonts w:cs="Times" w:ascii="Times" w:hAnsi="Times"/>
                        <w:sz w:val="18"/>
                      </w:rPr>
                      <w:t>200 King Street West</w:t>
                    </w:r>
                  </w:p>
                  <w:p>
                    <w:pPr>
                      <w:pStyle w:val="Normal"/>
                      <w:spacing w:lineRule="exact" w:line="200"/>
                      <w:rPr>
                        <w:rFonts w:ascii="Times" w:hAnsi="Times" w:cs="Times"/>
                        <w:sz w:val="18"/>
                      </w:rPr>
                    </w:pPr>
                    <w:r>
                      <w:rPr>
                        <w:rFonts w:cs="Times" w:ascii="Times" w:hAnsi="Times"/>
                        <w:sz w:val="18"/>
                      </w:rPr>
                      <w:t>Suite 1702, Box 21</w:t>
                    </w:r>
                  </w:p>
                  <w:p>
                    <w:pPr>
                      <w:pStyle w:val="Normal"/>
                      <w:spacing w:lineRule="exact" w:line="200"/>
                      <w:rPr>
                        <w:rFonts w:ascii="Times" w:hAnsi="Times" w:cs="Times"/>
                        <w:sz w:val="18"/>
                      </w:rPr>
                    </w:pPr>
                    <w:r>
                      <w:rPr>
                        <w:rFonts w:cs="Times" w:ascii="Times" w:hAnsi="Times"/>
                        <w:sz w:val="18"/>
                      </w:rPr>
                      <w:t>Toronto  ON   M5H 3T4</w:t>
                    </w:r>
                  </w:p>
                  <w:p>
                    <w:pPr>
                      <w:pStyle w:val="Normal"/>
                      <w:spacing w:lineRule="exact" w:line="200"/>
                      <w:rPr>
                        <w:rFonts w:ascii="Times" w:hAnsi="Times" w:cs="Times"/>
                        <w:sz w:val="18"/>
                      </w:rPr>
                    </w:pPr>
                    <w:r>
                      <w:rPr>
                        <w:rFonts w:cs="Times" w:ascii="Times" w:hAnsi="Times"/>
                        <w:sz w:val="18"/>
                      </w:rPr>
                      <w:t>Canada</w:t>
                    </w:r>
                  </w:p>
                </w:txbxContent>
              </v:textbox>
              <w10:wrap type="none"/>
            </v:rect>
          </w:pict>
        </mc:Fallback>
      </mc:AlternateContent>
    </w:r>
    <w:r>
      <mc:AlternateContent>
        <mc:Choice Requires="wps">
          <w:drawing>
            <wp:anchor behindDoc="1" distT="0" distB="0" distL="114935" distR="114935" simplePos="0" locked="0" layoutInCell="0" allowOverlap="1" relativeHeight="5">
              <wp:simplePos x="0" y="0"/>
              <wp:positionH relativeFrom="page">
                <wp:posOffset>5679440</wp:posOffset>
              </wp:positionH>
              <wp:positionV relativeFrom="page">
                <wp:posOffset>807720</wp:posOffset>
              </wp:positionV>
              <wp:extent cx="1554480" cy="548640"/>
              <wp:effectExtent l="0" t="0" r="0" b="0"/>
              <wp:wrapNone/>
              <wp:docPr id="4" name="Frame5"/>
              <a:graphic xmlns:a="http://schemas.openxmlformats.org/drawingml/2006/main">
                <a:graphicData uri="http://schemas.microsoft.com/office/word/2010/wordprocessingShape">
                  <wps:wsp>
                    <wps:cNvSpPr txBox="1"/>
                    <wps:spPr>
                      <a:xfrm>
                        <a:off x="0" y="0"/>
                        <a:ext cx="1554480" cy="548640"/>
                      </a:xfrm>
                      <a:prstGeom prst="rect"/>
                      <a:solidFill>
                        <a:srgbClr val="FFFFFF"/>
                      </a:solidFill>
                    </wps:spPr>
                    <wps:txbx>
                      <w:txbxContent>
                        <w:p>
                          <w:pPr>
                            <w:pStyle w:val="Normal"/>
                            <w:tabs>
                              <w:tab w:val="clear" w:pos="720"/>
                              <w:tab w:val="right" w:pos="7104" w:leader="none"/>
                            </w:tabs>
                            <w:spacing w:lineRule="exact" w:line="200"/>
                            <w:rPr>
                              <w:rFonts w:ascii="Times" w:hAnsi="Times" w:cs="Times"/>
                              <w:sz w:val="18"/>
                            </w:rPr>
                          </w:pPr>
                          <w:r>
                            <w:rPr>
                              <w:rFonts w:cs="Times" w:ascii="Times" w:hAnsi="Times"/>
                              <w:sz w:val="18"/>
                            </w:rPr>
                            <w:t>Tel 416 598 0055</w:t>
                          </w:r>
                        </w:p>
                        <w:p>
                          <w:pPr>
                            <w:pStyle w:val="Normal"/>
                            <w:tabs>
                              <w:tab w:val="clear" w:pos="720"/>
                              <w:tab w:val="right" w:pos="7104" w:leader="none"/>
                            </w:tabs>
                            <w:spacing w:lineRule="exact" w:line="200"/>
                            <w:rPr>
                              <w:rFonts w:ascii="Times" w:hAnsi="Times" w:cs="Times"/>
                              <w:sz w:val="18"/>
                            </w:rPr>
                          </w:pPr>
                          <w:r>
                            <w:rPr>
                              <w:rFonts w:cs="Times" w:ascii="Times" w:hAnsi="Times"/>
                              <w:sz w:val="18"/>
                            </w:rPr>
                            <w:t>Fax 416 598 3811</w:t>
                          </w:r>
                        </w:p>
                        <w:p>
                          <w:pPr>
                            <w:pStyle w:val="Normal"/>
                            <w:tabs>
                              <w:tab w:val="clear" w:pos="720"/>
                              <w:tab w:val="right" w:pos="7104" w:leader="none"/>
                            </w:tabs>
                            <w:spacing w:lineRule="exact" w:line="200"/>
                            <w:rPr>
                              <w:rFonts w:ascii="Times" w:hAnsi="Times" w:cs="Times"/>
                              <w:b/>
                              <w:sz w:val="18"/>
                            </w:rPr>
                          </w:pPr>
                          <w:r>
                            <w:rPr>
                              <w:rFonts w:cs="Times" w:ascii="Times" w:hAnsi="Times"/>
                              <w:b/>
                              <w:sz w:val="18"/>
                            </w:rPr>
                            <w:t>www.gpcinternational.com</w:t>
                          </w:r>
                        </w:p>
                      </w:txbxContent>
                    </wps:txbx>
                    <wps:bodyPr anchor="t" lIns="92075" tIns="46355" rIns="92075" bIns="46355">
                      <a:noAutofit/>
                    </wps:bodyPr>
                  </wps:wsp>
                </a:graphicData>
              </a:graphic>
            </wp:anchor>
          </w:drawing>
        </mc:Choice>
        <mc:Fallback>
          <w:pict>
            <v:rect fillcolor="#FFFFFF" style="position:absolute;rotation:-0;width:122.4pt;height:43.2pt;mso-wrap-distance-left:9.05pt;mso-wrap-distance-right:9.05pt;mso-wrap-distance-top:0pt;mso-wrap-distance-bottom:0pt;margin-top:63.6pt;mso-position-vertical-relative:page;margin-left:447.2pt;mso-position-horizontal-relative:page">
              <v:textbox inset="0.100694444444444in,0.0506944444444444in,0.100694444444444in,0.0506944444444444in">
                <w:txbxContent>
                  <w:p>
                    <w:pPr>
                      <w:pStyle w:val="Normal"/>
                      <w:tabs>
                        <w:tab w:val="clear" w:pos="720"/>
                        <w:tab w:val="right" w:pos="7104" w:leader="none"/>
                      </w:tabs>
                      <w:spacing w:lineRule="exact" w:line="200"/>
                      <w:rPr>
                        <w:rFonts w:ascii="Times" w:hAnsi="Times" w:cs="Times"/>
                        <w:sz w:val="18"/>
                      </w:rPr>
                    </w:pPr>
                    <w:r>
                      <w:rPr>
                        <w:rFonts w:cs="Times" w:ascii="Times" w:hAnsi="Times"/>
                        <w:sz w:val="18"/>
                      </w:rPr>
                      <w:t>Tel 416 598 0055</w:t>
                    </w:r>
                  </w:p>
                  <w:p>
                    <w:pPr>
                      <w:pStyle w:val="Normal"/>
                      <w:tabs>
                        <w:tab w:val="clear" w:pos="720"/>
                        <w:tab w:val="right" w:pos="7104" w:leader="none"/>
                      </w:tabs>
                      <w:spacing w:lineRule="exact" w:line="200"/>
                      <w:rPr>
                        <w:rFonts w:ascii="Times" w:hAnsi="Times" w:cs="Times"/>
                        <w:sz w:val="18"/>
                      </w:rPr>
                    </w:pPr>
                    <w:r>
                      <w:rPr>
                        <w:rFonts w:cs="Times" w:ascii="Times" w:hAnsi="Times"/>
                        <w:sz w:val="18"/>
                      </w:rPr>
                      <w:t>Fax 416 598 3811</w:t>
                    </w:r>
                  </w:p>
                  <w:p>
                    <w:pPr>
                      <w:pStyle w:val="Normal"/>
                      <w:tabs>
                        <w:tab w:val="clear" w:pos="720"/>
                        <w:tab w:val="right" w:pos="7104" w:leader="none"/>
                      </w:tabs>
                      <w:spacing w:lineRule="exact" w:line="200"/>
                      <w:rPr>
                        <w:rFonts w:ascii="Times" w:hAnsi="Times" w:cs="Times"/>
                        <w:b/>
                        <w:sz w:val="18"/>
                      </w:rPr>
                    </w:pPr>
                    <w:r>
                      <w:rPr>
                        <w:rFonts w:cs="Times" w:ascii="Times" w:hAnsi="Times"/>
                        <w:b/>
                        <w:sz w:val="18"/>
                      </w:rPr>
                      <w:t>www.gpcinternational.com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rFonts w:ascii="Arial Narrow" w:hAnsi="Arial Narrow" w:cs="Arial Narrow"/>
      <w:i/>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electronic letterhead (with logo).dot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2001-05-18T14:42:00Z</dcterms:created>
  <dc:creator>GPC</dc:creator>
  <dc:description/>
  <dc:language>en-CA</dc:language>
  <cp:lastModifiedBy>GPC</cp:lastModifiedBy>
  <cp:lastPrinted>2000-08-16T16:19:00Z</cp:lastPrinted>
  <dcterms:modified xsi:type="dcterms:W3CDTF">2001-05-18T14:45:00Z</dcterms:modified>
  <cp:revision>1</cp:revision>
  <dc:subject/>
  <dc:title>DD Month Year</dc:title>
</cp:coreProperties>
</file>