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center" w:pos="4680" w:leader="none"/>
          <w:tab w:val="right" w:pos="9360" w:leader="none"/>
        </w:tabs>
        <w:jc w:val="both"/>
        <w:rPr/>
      </w:pPr>
      <w:r>
        <w:rPr/>
      </w:r>
    </w:p>
    <w:p>
      <w:pPr>
        <w:pStyle w:val="Heading2"/>
        <w:ind w:hanging="0" w:start="0"/>
        <w:rPr/>
      </w:pPr>
      <w:r>
        <w:rPr/>
        <w:t>Key Messages</w:t>
      </w:r>
    </w:p>
    <w:p>
      <w:pPr>
        <w:pStyle w:val="Normal"/>
        <w:tabs>
          <w:tab w:val="clear" w:pos="720"/>
          <w:tab w:val="left" w:pos="0" w:leader="none"/>
          <w:tab w:val="center" w:pos="4680" w:leader="none"/>
          <w:tab w:val="right" w:pos="9360" w:leader="none"/>
        </w:tabs>
        <w:rPr/>
      </w:pPr>
      <w:r>
        <w:rPr/>
        <w:t>The  Brazilian energy sector was restructured with an overriding vision to attract private investment to compete in the market place.</w:t>
      </w:r>
    </w:p>
    <w:p>
      <w:pPr>
        <w:pStyle w:val="Normal"/>
        <w:tabs>
          <w:tab w:val="clear" w:pos="720"/>
          <w:tab w:val="left" w:pos="0" w:leader="none"/>
          <w:tab w:val="center" w:pos="4680" w:leader="none"/>
          <w:tab w:val="right" w:pos="9360" w:leader="none"/>
        </w:tabs>
        <w:rPr/>
      </w:pPr>
      <w:r>
        <w:rPr/>
      </w:r>
    </w:p>
    <w:p>
      <w:pPr>
        <w:pStyle w:val="Normal"/>
        <w:tabs>
          <w:tab w:val="clear" w:pos="720"/>
          <w:tab w:val="left" w:pos="0" w:leader="none"/>
          <w:tab w:val="center" w:pos="4680" w:leader="none"/>
          <w:tab w:val="right" w:pos="9360" w:leader="none"/>
        </w:tabs>
        <w:rPr/>
      </w:pPr>
      <w:r>
        <w:rPr/>
        <w:t>The root cause of the Brazilian energy crisis was not so much a failure of the framework but more a question of implementation due to the conflicting policies for attracting investment for energy expansion in generation and those imposed to maintain short-term inflation control.</w:t>
      </w:r>
    </w:p>
    <w:p>
      <w:pPr>
        <w:pStyle w:val="Header"/>
        <w:tabs>
          <w:tab w:val="clear" w:pos="4320"/>
          <w:tab w:val="clear" w:pos="8640"/>
          <w:tab w:val="left" w:pos="0" w:leader="none"/>
          <w:tab w:val="center" w:pos="4680" w:leader="none"/>
          <w:tab w:val="right" w:pos="9360" w:leader="none"/>
        </w:tabs>
        <w:rPr/>
      </w:pPr>
      <w:r>
        <w:rPr/>
      </w:r>
    </w:p>
    <w:p>
      <w:pPr>
        <w:pStyle w:val="Normal"/>
        <w:tabs>
          <w:tab w:val="clear" w:pos="720"/>
          <w:tab w:val="left" w:pos="0" w:leader="none"/>
          <w:tab w:val="center" w:pos="4680" w:leader="none"/>
          <w:tab w:val="right" w:pos="9360" w:leader="none"/>
        </w:tabs>
        <w:rPr/>
      </w:pPr>
      <w:r>
        <w:rPr/>
        <w:t>After recognition of the crisis, the Energy Crisis Management Group was established to systematically tackle the priorities of 1) rationing the existing resources to avoid an energy collapse, 2) add emergency resources, 3) resolve short term hurdles for expansion, 4) revitalize the energy sector model.</w:t>
      </w:r>
    </w:p>
    <w:p>
      <w:pPr>
        <w:pStyle w:val="Normal"/>
        <w:tabs>
          <w:tab w:val="clear" w:pos="720"/>
          <w:tab w:val="left" w:pos="0" w:leader="none"/>
          <w:tab w:val="center" w:pos="4680" w:leader="none"/>
          <w:tab w:val="right" w:pos="9360" w:leader="none"/>
        </w:tabs>
        <w:rPr/>
      </w:pPr>
      <w:r>
        <w:rPr/>
      </w:r>
    </w:p>
    <w:p>
      <w:pPr>
        <w:pStyle w:val="Normal"/>
        <w:tabs>
          <w:tab w:val="clear" w:pos="720"/>
          <w:tab w:val="left" w:pos="0" w:leader="none"/>
          <w:tab w:val="center" w:pos="4680" w:leader="none"/>
          <w:tab w:val="right" w:pos="9360" w:leader="none"/>
        </w:tabs>
        <w:rPr/>
      </w:pPr>
      <w:r>
        <w:rPr/>
        <w:t>The mode operandi has been command-and-control, with broad coordination of the relevant government and regulatory bodies and the full legal backing of relevant laws, decrees. The results so far:</w:t>
      </w:r>
    </w:p>
    <w:p>
      <w:pPr>
        <w:pStyle w:val="Normal"/>
        <w:tabs>
          <w:tab w:val="clear" w:pos="720"/>
          <w:tab w:val="left" w:pos="0" w:leader="none"/>
          <w:tab w:val="center" w:pos="4680" w:leader="none"/>
          <w:tab w:val="right" w:pos="9360" w:leader="none"/>
        </w:tabs>
        <w:rPr/>
      </w:pPr>
      <w:r>
        <w:rPr/>
      </w:r>
    </w:p>
    <w:p>
      <w:pPr>
        <w:pStyle w:val="Normal"/>
        <w:numPr>
          <w:ilvl w:val="0"/>
          <w:numId w:val="2"/>
        </w:numPr>
        <w:tabs>
          <w:tab w:val="clear" w:pos="720"/>
          <w:tab w:val="left" w:pos="0" w:leader="none"/>
          <w:tab w:val="center" w:pos="4320" w:leader="none"/>
          <w:tab w:val="right" w:pos="9000" w:leader="none"/>
        </w:tabs>
        <w:ind w:hanging="720" w:start="720" w:end="0"/>
        <w:rPr/>
      </w:pPr>
      <w:r>
        <w:rPr/>
        <w:t>Successful in forestalling a system collapse. Some creative solutions for rationing ie creation of the certificate market.</w:t>
      </w:r>
    </w:p>
    <w:p>
      <w:pPr>
        <w:pStyle w:val="Normal"/>
        <w:numPr>
          <w:ilvl w:val="0"/>
          <w:numId w:val="2"/>
        </w:numPr>
        <w:tabs>
          <w:tab w:val="clear" w:pos="720"/>
          <w:tab w:val="left" w:pos="0" w:leader="none"/>
          <w:tab w:val="center" w:pos="4320" w:leader="none"/>
          <w:tab w:val="right" w:pos="9000" w:leader="none"/>
        </w:tabs>
        <w:ind w:hanging="720" w:start="720" w:end="0"/>
        <w:rPr/>
      </w:pPr>
      <w:r>
        <w:rPr/>
        <w:t>Heavy dependence on government control agencies (Eletrobras, Petrobras, BNDES) to take the lead for expansion of resources.</w:t>
      </w:r>
    </w:p>
    <w:p>
      <w:pPr>
        <w:pStyle w:val="Normal"/>
        <w:numPr>
          <w:ilvl w:val="0"/>
          <w:numId w:val="2"/>
        </w:numPr>
        <w:tabs>
          <w:tab w:val="clear" w:pos="720"/>
          <w:tab w:val="left" w:pos="0" w:leader="none"/>
          <w:tab w:val="center" w:pos="4320" w:leader="none"/>
          <w:tab w:val="right" w:pos="9000" w:leader="none"/>
        </w:tabs>
        <w:ind w:hanging="720" w:start="720" w:end="0"/>
        <w:rPr/>
      </w:pPr>
      <w:r>
        <w:rPr/>
        <w:t xml:space="preserve">Creation of an agency CBEE </w:t>
      </w:r>
      <w:r>
        <w:rPr>
          <w:lang w:val="pt-BR"/>
        </w:rPr>
        <w:t>(Companhia Brasileira de Energia Emergencial)</w:t>
      </w:r>
      <w:r>
        <w:rPr/>
        <w:t>, backed with Federal Government Guarantees, to purchase and sell energy</w:t>
      </w:r>
    </w:p>
    <w:p>
      <w:pPr>
        <w:pStyle w:val="Normal"/>
        <w:numPr>
          <w:ilvl w:val="0"/>
          <w:numId w:val="2"/>
        </w:numPr>
        <w:tabs>
          <w:tab w:val="clear" w:pos="720"/>
          <w:tab w:val="left" w:pos="0" w:leader="none"/>
          <w:tab w:val="center" w:pos="4320" w:leader="none"/>
          <w:tab w:val="right" w:pos="9000" w:leader="none"/>
        </w:tabs>
        <w:ind w:hanging="720" w:start="720" w:end="0"/>
        <w:rPr/>
      </w:pPr>
      <w:r>
        <w:rPr/>
        <w:t xml:space="preserve">Acknowledgement of the institutional/regulatory barriers to attract further private investment for infrastructure expansion. </w:t>
      </w:r>
    </w:p>
    <w:p>
      <w:pPr>
        <w:pStyle w:val="Normal"/>
        <w:numPr>
          <w:ilvl w:val="0"/>
          <w:numId w:val="2"/>
        </w:numPr>
        <w:tabs>
          <w:tab w:val="clear" w:pos="720"/>
          <w:tab w:val="left" w:pos="0" w:leader="none"/>
          <w:tab w:val="center" w:pos="4320" w:leader="none"/>
          <w:tab w:val="right" w:pos="9000" w:leader="none"/>
        </w:tabs>
        <w:ind w:hanging="720" w:start="720" w:end="0"/>
        <w:rPr/>
      </w:pPr>
      <w:r>
        <w:rPr/>
        <w:t>Intervention of the MAE (wholesale market) to solve transition contentious issues.</w:t>
      </w:r>
    </w:p>
    <w:p>
      <w:pPr>
        <w:pStyle w:val="Normal"/>
        <w:numPr>
          <w:ilvl w:val="0"/>
          <w:numId w:val="2"/>
        </w:numPr>
        <w:tabs>
          <w:tab w:val="clear" w:pos="720"/>
          <w:tab w:val="left" w:pos="0" w:leader="none"/>
          <w:tab w:val="center" w:pos="4320" w:leader="none"/>
          <w:tab w:val="right" w:pos="9000" w:leader="none"/>
        </w:tabs>
        <w:ind w:hanging="720" w:start="720" w:end="0"/>
        <w:jc w:val="both"/>
        <w:rPr/>
      </w:pPr>
      <w:r>
        <w:rPr/>
        <w:t>The financial health of the sector has reached critical levels – insufficient cash flows. Mechanical solutions for rate relief have been debated and solutions are expected to be imminent.</w:t>
      </w:r>
    </w:p>
    <w:p>
      <w:pPr>
        <w:pStyle w:val="Normal"/>
        <w:numPr>
          <w:ilvl w:val="0"/>
          <w:numId w:val="2"/>
        </w:numPr>
        <w:tabs>
          <w:tab w:val="clear" w:pos="720"/>
          <w:tab w:val="left" w:pos="0" w:leader="none"/>
          <w:tab w:val="center" w:pos="4320" w:leader="none"/>
          <w:tab w:val="right" w:pos="9000" w:leader="none"/>
        </w:tabs>
        <w:ind w:hanging="720" w:start="720" w:end="0"/>
        <w:jc w:val="both"/>
        <w:rPr/>
      </w:pPr>
      <w:r>
        <w:rPr/>
        <w:t xml:space="preserve">The hurdles for generation expansion – within the established regulatory framework - are still awaiting a solution. </w:t>
      </w:r>
    </w:p>
    <w:p>
      <w:pPr>
        <w:pStyle w:val="Normal"/>
        <w:numPr>
          <w:ilvl w:val="0"/>
          <w:numId w:val="2"/>
        </w:numPr>
        <w:tabs>
          <w:tab w:val="clear" w:pos="720"/>
          <w:tab w:val="left" w:pos="0" w:leader="none"/>
          <w:tab w:val="center" w:pos="4320" w:leader="none"/>
          <w:tab w:val="right" w:pos="9000" w:leader="none"/>
        </w:tabs>
        <w:ind w:hanging="720" w:start="720" w:end="0"/>
        <w:jc w:val="both"/>
        <w:rPr/>
      </w:pPr>
      <w:r>
        <w:rPr/>
        <w:t>Meddling with the existing market procedures – examples MAE price computation procedures, purchases and sale of emergency power.</w:t>
      </w:r>
    </w:p>
    <w:p>
      <w:pPr>
        <w:pStyle w:val="Normal"/>
        <w:numPr>
          <w:ilvl w:val="0"/>
          <w:numId w:val="2"/>
        </w:numPr>
        <w:tabs>
          <w:tab w:val="clear" w:pos="720"/>
          <w:tab w:val="left" w:pos="0" w:leader="none"/>
          <w:tab w:val="center" w:pos="4320" w:leader="none"/>
          <w:tab w:val="right" w:pos="9000" w:leader="none"/>
        </w:tabs>
        <w:ind w:hanging="720" w:start="720" w:end="0"/>
        <w:jc w:val="both"/>
        <w:rPr/>
      </w:pPr>
      <w:r>
        <w:rPr/>
        <w:t>The open question is “what will be the new model”?  and the attendant concern “can I trust the rules in the future?”</w:t>
      </w:r>
    </w:p>
    <w:p>
      <w:pPr>
        <w:pStyle w:val="Normal"/>
        <w:numPr>
          <w:ilvl w:val="0"/>
          <w:numId w:val="0"/>
        </w:numPr>
        <w:tabs>
          <w:tab w:val="clear" w:pos="720"/>
          <w:tab w:val="left" w:pos="0" w:leader="none"/>
          <w:tab w:val="center" w:pos="4680" w:leader="none"/>
          <w:tab w:val="right" w:pos="9360" w:leader="none"/>
        </w:tabs>
        <w:ind w:hanging="0" w:start="0"/>
        <w:jc w:val="both"/>
        <w:rPr/>
      </w:pPr>
      <w:r>
        <w:rPr/>
      </w:r>
    </w:p>
    <w:p>
      <w:pPr>
        <w:pStyle w:val="Heading2"/>
        <w:numPr>
          <w:ilvl w:val="0"/>
          <w:numId w:val="0"/>
        </w:numPr>
        <w:ind w:hanging="0" w:start="0"/>
        <w:rPr/>
      </w:pPr>
      <w:r>
        <w:rPr/>
        <w:t>Enron’s Scope of Activities</w:t>
      </w:r>
    </w:p>
    <w:p>
      <w:pPr>
        <w:pStyle w:val="Normal"/>
        <w:numPr>
          <w:ilvl w:val="0"/>
          <w:numId w:val="0"/>
        </w:numPr>
        <w:ind w:hanging="0" w:start="0"/>
        <w:rPr/>
      </w:pPr>
      <w:r>
        <w:rPr/>
        <w:t>We participate in electricity distribution, generation with long term PPA as well as merchant, gas pipeline transportation, gas distribution, trading (buying/selling gas/electricity), thus we have several perspective of the issues in the energy conversion chain.</w:t>
      </w:r>
    </w:p>
    <w:p>
      <w:pPr>
        <w:pStyle w:val="Heading1"/>
        <w:numPr>
          <w:ilvl w:val="0"/>
          <w:numId w:val="0"/>
        </w:numPr>
        <w:ind w:hanging="0" w:start="0"/>
        <w:jc w:val="center"/>
        <w:rPr/>
      </w:pPr>
      <w:r>
        <w:rPr/>
      </w:r>
    </w:p>
    <w:p>
      <w:pPr>
        <w:pStyle w:val="Heading1"/>
        <w:numPr>
          <w:ilvl w:val="0"/>
          <w:numId w:val="0"/>
        </w:numPr>
        <w:ind w:hanging="0" w:start="0"/>
        <w:jc w:val="center"/>
        <w:rPr/>
      </w:pPr>
      <w:r>
        <w:rPr/>
        <w:t>Controversies –Solving the root causes for the future model</w:t>
      </w:r>
    </w:p>
    <w:p>
      <w:pPr>
        <w:pStyle w:val="Heading2"/>
        <w:numPr>
          <w:ilvl w:val="0"/>
          <w:numId w:val="0"/>
        </w:numPr>
        <w:ind w:hanging="0" w:start="0"/>
        <w:rPr/>
      </w:pPr>
      <w:r>
        <w:rPr/>
        <w:t>A question of coherence</w:t>
      </w:r>
    </w:p>
    <w:p>
      <w:pPr>
        <w:pStyle w:val="BodyText"/>
        <w:numPr>
          <w:ilvl w:val="0"/>
          <w:numId w:val="0"/>
        </w:numPr>
        <w:ind w:hanging="0" w:start="0"/>
        <w:rPr/>
      </w:pPr>
      <w:r>
        <w:rPr/>
        <w:t>Efforts to attract investment for EXPANSION  (NOT PRIVATIZATION), have tried in vain to circumvent the realities:</w:t>
      </w:r>
    </w:p>
    <w:p>
      <w:pPr>
        <w:pStyle w:val="Normal"/>
        <w:numPr>
          <w:ilvl w:val="0"/>
          <w:numId w:val="2"/>
        </w:numPr>
        <w:tabs>
          <w:tab w:val="clear" w:pos="720"/>
          <w:tab w:val="left" w:pos="0" w:leader="none"/>
        </w:tabs>
        <w:ind w:hanging="720" w:start="720" w:end="0"/>
        <w:rPr>
          <w:color w:val="000000"/>
        </w:rPr>
      </w:pPr>
      <w:r>
        <w:rPr>
          <w:color w:val="000000"/>
        </w:rPr>
        <w:t>For the short term, the incremental energy supply is an imported commodity and the currency of payments is the US$ for that increment. This has to be reflected in price control formulas.</w:t>
      </w:r>
    </w:p>
    <w:p>
      <w:pPr>
        <w:pStyle w:val="Normal"/>
        <w:numPr>
          <w:ilvl w:val="0"/>
          <w:numId w:val="2"/>
        </w:numPr>
        <w:tabs>
          <w:tab w:val="clear" w:pos="720"/>
          <w:tab w:val="left" w:pos="0" w:leader="none"/>
        </w:tabs>
        <w:ind w:hanging="720" w:start="720" w:end="0"/>
        <w:rPr>
          <w:color w:val="000000"/>
        </w:rPr>
      </w:pPr>
      <w:r>
        <w:rPr>
          <w:color w:val="000000"/>
        </w:rPr>
        <w:t>There is a convergence between the gas and electric markets. Cannot attain the vision of a competitive electric market without open access to gas supplies</w:t>
      </w:r>
    </w:p>
    <w:p>
      <w:pPr>
        <w:pStyle w:val="Normal"/>
        <w:numPr>
          <w:ilvl w:val="0"/>
          <w:numId w:val="0"/>
        </w:numPr>
        <w:ind w:hanging="0" w:start="540" w:end="0"/>
        <w:rPr>
          <w:color w:val="000000"/>
        </w:rPr>
      </w:pPr>
      <w:r>
        <w:rPr>
          <w:color w:val="000000"/>
        </w:rPr>
      </w:r>
    </w:p>
    <w:p>
      <w:pPr>
        <w:pStyle w:val="Heading2"/>
        <w:numPr>
          <w:ilvl w:val="0"/>
          <w:numId w:val="0"/>
        </w:numPr>
        <w:ind w:hanging="0" w:start="0"/>
        <w:rPr/>
      </w:pPr>
      <w:r>
        <w:rPr/>
        <w:t xml:space="preserve">Was the crisis due to Privatization? </w:t>
      </w:r>
    </w:p>
    <w:p>
      <w:pPr>
        <w:pStyle w:val="Normal"/>
        <w:numPr>
          <w:ilvl w:val="0"/>
          <w:numId w:val="0"/>
        </w:numPr>
        <w:ind w:hanging="0" w:start="0"/>
        <w:rPr/>
      </w:pPr>
      <w:r>
        <w:rPr/>
        <w:t xml:space="preserve">NO!!. Most of the privatization occurred in Distribution  and the present crisis was not caused by lack of distribution”. </w:t>
      </w:r>
    </w:p>
    <w:p>
      <w:pPr>
        <w:pStyle w:val="Normal"/>
        <w:numPr>
          <w:ilvl w:val="0"/>
          <w:numId w:val="2"/>
        </w:numPr>
        <w:tabs>
          <w:tab w:val="clear" w:pos="720"/>
          <w:tab w:val="left" w:pos="0" w:leader="none"/>
        </w:tabs>
        <w:ind w:hanging="720" w:start="720" w:end="0"/>
        <w:rPr/>
      </w:pPr>
      <w:r>
        <w:rPr/>
        <w:t>The private sector serves approximately 70% of the customers.</w:t>
      </w:r>
    </w:p>
    <w:p>
      <w:pPr>
        <w:pStyle w:val="Normal"/>
        <w:numPr>
          <w:ilvl w:val="0"/>
          <w:numId w:val="2"/>
        </w:numPr>
        <w:tabs>
          <w:tab w:val="clear" w:pos="720"/>
          <w:tab w:val="left" w:pos="0" w:leader="none"/>
        </w:tabs>
        <w:ind w:hanging="720" w:start="720" w:end="0"/>
        <w:rPr/>
      </w:pPr>
      <w:r>
        <w:rPr/>
        <w:t>The private sector HAS EXPANDED the distribution network post privatization</w:t>
      </w:r>
    </w:p>
    <w:p>
      <w:pPr>
        <w:pStyle w:val="Normal"/>
        <w:numPr>
          <w:ilvl w:val="0"/>
          <w:numId w:val="2"/>
        </w:numPr>
        <w:tabs>
          <w:tab w:val="clear" w:pos="720"/>
          <w:tab w:val="left" w:pos="0" w:leader="none"/>
        </w:tabs>
        <w:ind w:hanging="720" w:start="720" w:end="0"/>
        <w:rPr/>
      </w:pPr>
      <w:r>
        <w:rPr/>
        <w:t>The shortages are in the lack of expansion of the power supply.</w:t>
      </w:r>
    </w:p>
    <w:p>
      <w:pPr>
        <w:pStyle w:val="Normal"/>
        <w:numPr>
          <w:ilvl w:val="0"/>
          <w:numId w:val="0"/>
        </w:numPr>
        <w:ind w:hanging="0" w:start="0"/>
        <w:rPr/>
      </w:pPr>
      <w:r>
        <w:rPr/>
      </w:r>
    </w:p>
    <w:p>
      <w:pPr>
        <w:pStyle w:val="Normal"/>
        <w:numPr>
          <w:ilvl w:val="0"/>
          <w:numId w:val="0"/>
        </w:numPr>
        <w:ind w:hanging="0" w:start="0"/>
        <w:rPr/>
      </w:pPr>
      <w:r>
        <w:rPr>
          <w:b/>
          <w:bCs/>
          <w:i/>
          <w:iCs/>
          <w:sz w:val="24"/>
          <w:szCs w:val="24"/>
        </w:rPr>
        <w:t>Role of Distributors as revenue collectors</w:t>
      </w:r>
      <w:r>
        <w:rPr/>
        <w:t>.</w:t>
      </w:r>
    </w:p>
    <w:p>
      <w:pPr>
        <w:pStyle w:val="Normal"/>
        <w:numPr>
          <w:ilvl w:val="0"/>
          <w:numId w:val="0"/>
        </w:numPr>
        <w:ind w:hanging="0" w:start="0"/>
        <w:rPr/>
      </w:pPr>
      <w:r>
        <w:rPr/>
        <w:t xml:space="preserve">The distributors </w:t>
      </w:r>
      <w:r>
        <w:rPr>
          <w:b/>
          <w:bCs/>
          <w:u w:val="single"/>
        </w:rPr>
        <w:t>are the collectors</w:t>
      </w:r>
      <w:r>
        <w:rPr/>
        <w:t xml:space="preserve"> of the revenues for everyone in the sector and after paying all the bills –what is left-over is to cover the distribution cost.  </w:t>
      </w:r>
    </w:p>
    <w:p>
      <w:pPr>
        <w:pStyle w:val="Normal"/>
        <w:numPr>
          <w:ilvl w:val="0"/>
          <w:numId w:val="0"/>
        </w:numPr>
        <w:ind w:hanging="0" w:start="0"/>
        <w:rPr/>
      </w:pPr>
      <w:r>
        <w:rPr/>
      </w:r>
    </w:p>
    <w:p>
      <w:pPr>
        <w:pStyle w:val="Normal"/>
        <w:numPr>
          <w:ilvl w:val="0"/>
          <w:numId w:val="2"/>
        </w:numPr>
        <w:tabs>
          <w:tab w:val="clear" w:pos="720"/>
          <w:tab w:val="left" w:pos="0" w:leader="none"/>
        </w:tabs>
        <w:ind w:hanging="720" w:start="1080" w:end="0"/>
        <w:rPr/>
      </w:pPr>
      <w:r>
        <w:rPr/>
        <w:t>Direct taxes- (gross revenues) 28.7% -- Efficient collector</w:t>
      </w:r>
    </w:p>
    <w:p>
      <w:pPr>
        <w:pStyle w:val="Normal"/>
        <w:numPr>
          <w:ilvl w:val="0"/>
          <w:numId w:val="2"/>
        </w:numPr>
        <w:tabs>
          <w:tab w:val="clear" w:pos="720"/>
          <w:tab w:val="left" w:pos="0" w:leader="none"/>
        </w:tabs>
        <w:ind w:hanging="720" w:start="1080" w:end="0"/>
        <w:rPr/>
      </w:pPr>
      <w:r>
        <w:rPr/>
        <w:t>Transmission 6.4%</w:t>
      </w:r>
    </w:p>
    <w:p>
      <w:pPr>
        <w:pStyle w:val="Normal"/>
        <w:numPr>
          <w:ilvl w:val="0"/>
          <w:numId w:val="2"/>
        </w:numPr>
        <w:tabs>
          <w:tab w:val="clear" w:pos="720"/>
          <w:tab w:val="left" w:pos="0" w:leader="none"/>
        </w:tabs>
        <w:ind w:hanging="720" w:start="1080" w:end="0"/>
        <w:rPr/>
      </w:pPr>
      <w:r>
        <w:rPr/>
        <w:t>System Charges and Growing --- 7.7%</w:t>
      </w:r>
    </w:p>
    <w:p>
      <w:pPr>
        <w:pStyle w:val="Normal"/>
        <w:numPr>
          <w:ilvl w:val="0"/>
          <w:numId w:val="2"/>
        </w:numPr>
        <w:tabs>
          <w:tab w:val="clear" w:pos="720"/>
          <w:tab w:val="left" w:pos="0" w:leader="none"/>
        </w:tabs>
        <w:ind w:hanging="720" w:start="1080" w:end="0"/>
        <w:rPr/>
      </w:pPr>
      <w:r>
        <w:rPr/>
        <w:t>Generation – 26.3%</w:t>
      </w:r>
    </w:p>
    <w:p>
      <w:pPr>
        <w:pStyle w:val="Normal"/>
        <w:numPr>
          <w:ilvl w:val="0"/>
          <w:numId w:val="2"/>
        </w:numPr>
        <w:tabs>
          <w:tab w:val="clear" w:pos="720"/>
          <w:tab w:val="left" w:pos="0" w:leader="none"/>
        </w:tabs>
        <w:ind w:hanging="720" w:start="1080" w:end="0"/>
        <w:rPr/>
      </w:pPr>
      <w:r>
        <w:rPr/>
        <w:t>Left over -distribution – 30.9%</w:t>
      </w:r>
    </w:p>
    <w:p>
      <w:pPr>
        <w:pStyle w:val="Normal"/>
        <w:numPr>
          <w:ilvl w:val="0"/>
          <w:numId w:val="0"/>
        </w:numPr>
        <w:ind w:hanging="0" w:start="0"/>
        <w:rPr/>
      </w:pPr>
      <w:r>
        <w:rPr/>
      </w:r>
    </w:p>
    <w:p>
      <w:pPr>
        <w:pStyle w:val="Normal"/>
        <w:numPr>
          <w:ilvl w:val="0"/>
          <w:numId w:val="0"/>
        </w:numPr>
        <w:ind w:hanging="0" w:start="0"/>
        <w:rPr/>
      </w:pPr>
      <w:r>
        <w:rPr/>
        <w:t>Big issue is the regulatory lag, particularly with the increasing cost of generation and systems cost  - (Parcela A) in the tariffs</w:t>
      </w:r>
    </w:p>
    <w:p>
      <w:pPr>
        <w:pStyle w:val="Normal"/>
        <w:numPr>
          <w:ilvl w:val="0"/>
          <w:numId w:val="0"/>
        </w:numPr>
        <w:ind w:hanging="0" w:start="0"/>
        <w:rPr/>
      </w:pPr>
      <w:r>
        <w:rPr/>
      </w:r>
    </w:p>
    <w:p>
      <w:pPr>
        <w:pStyle w:val="Normal"/>
        <w:numPr>
          <w:ilvl w:val="0"/>
          <w:numId w:val="0"/>
        </w:numPr>
        <w:ind w:hanging="0" w:start="0"/>
        <w:rPr/>
      </w:pPr>
      <w:r>
        <w:rPr/>
        <w:t>Generation cost for new generation are higher than permitted to be pass through to generation. Thus, distributors cannot contract and get into a worse situation.</w:t>
      </w:r>
    </w:p>
    <w:p>
      <w:pPr>
        <w:pStyle w:val="Normal"/>
        <w:numPr>
          <w:ilvl w:val="0"/>
          <w:numId w:val="0"/>
        </w:numPr>
        <w:ind w:hanging="0" w:start="0"/>
        <w:rPr/>
      </w:pPr>
      <w:r>
        <w:rPr/>
      </w:r>
    </w:p>
    <w:p>
      <w:pPr>
        <w:pStyle w:val="Normal"/>
        <w:numPr>
          <w:ilvl w:val="0"/>
          <w:numId w:val="0"/>
        </w:numPr>
        <w:ind w:hanging="0" w:start="0"/>
        <w:rPr/>
      </w:pPr>
      <w:r>
        <w:rPr/>
        <w:t>Without immediate correction – Not only the distribution companies will not have the funds to continue to expand the distribution system – worse – not enough money to pay the current bills.!!!!</w:t>
      </w:r>
    </w:p>
    <w:p>
      <w:pPr>
        <w:pStyle w:val="Normal"/>
        <w:numPr>
          <w:ilvl w:val="0"/>
          <w:numId w:val="0"/>
        </w:numPr>
        <w:ind w:hanging="0" w:start="0"/>
        <w:rPr/>
      </w:pPr>
      <w:r>
        <w:rPr/>
      </w:r>
    </w:p>
    <w:p>
      <w:pPr>
        <w:pStyle w:val="Normal"/>
        <w:numPr>
          <w:ilvl w:val="0"/>
          <w:numId w:val="0"/>
        </w:numPr>
        <w:ind w:hanging="0" w:start="0"/>
        <w:rPr/>
      </w:pPr>
      <w:r>
        <w:rPr/>
        <w:t>There will be no resources for expansion for generation services</w:t>
      </w:r>
    </w:p>
    <w:p>
      <w:pPr>
        <w:pStyle w:val="Normal"/>
        <w:numPr>
          <w:ilvl w:val="0"/>
          <w:numId w:val="0"/>
        </w:numPr>
        <w:ind w:hanging="0" w:start="0"/>
        <w:rPr/>
      </w:pPr>
      <w:r>
        <w:rPr/>
      </w:r>
    </w:p>
    <w:p>
      <w:pPr>
        <w:pStyle w:val="Heading2"/>
        <w:numPr>
          <w:ilvl w:val="0"/>
          <w:numId w:val="0"/>
        </w:numPr>
        <w:ind w:hanging="0" w:start="0"/>
        <w:rPr/>
      </w:pPr>
      <w:r>
        <w:rPr/>
        <w:t>Root cause of lack of Generation expansion.-</w:t>
      </w:r>
    </w:p>
    <w:p>
      <w:pPr>
        <w:pStyle w:val="Normal"/>
        <w:numPr>
          <w:ilvl w:val="0"/>
          <w:numId w:val="0"/>
        </w:numPr>
        <w:ind w:hanging="0" w:start="0"/>
        <w:rPr/>
      </w:pPr>
      <w:r>
        <w:rPr/>
        <w:t>The public sector expansion was curtailed to move to a competitive model and private sector expansion has been minimal due to the lack of coherence in the implementation of the sector model.</w:t>
      </w:r>
    </w:p>
    <w:p>
      <w:pPr>
        <w:pStyle w:val="Normal"/>
        <w:numPr>
          <w:ilvl w:val="0"/>
          <w:numId w:val="0"/>
        </w:numPr>
        <w:ind w:hanging="0" w:start="0"/>
        <w:rPr/>
      </w:pPr>
      <w:r>
        <w:rPr/>
      </w:r>
    </w:p>
    <w:p>
      <w:pPr>
        <w:pStyle w:val="Normal"/>
        <w:numPr>
          <w:ilvl w:val="0"/>
          <w:numId w:val="0"/>
        </w:numPr>
        <w:ind w:hanging="0" w:start="0"/>
        <w:rPr/>
      </w:pPr>
      <w:r>
        <w:rPr/>
        <w:t>The short term spot market is still not working! Requires bilateral contracting at the moment</w:t>
      </w:r>
    </w:p>
    <w:p>
      <w:pPr>
        <w:pStyle w:val="Normal"/>
        <w:numPr>
          <w:ilvl w:val="0"/>
          <w:numId w:val="0"/>
        </w:numPr>
        <w:ind w:hanging="0" w:start="0"/>
        <w:rPr/>
      </w:pPr>
      <w:r>
        <w:rPr/>
      </w:r>
    </w:p>
    <w:p>
      <w:pPr>
        <w:pStyle w:val="Normal"/>
        <w:numPr>
          <w:ilvl w:val="0"/>
          <w:numId w:val="0"/>
        </w:numPr>
        <w:ind w:hanging="0" w:start="0"/>
        <w:rPr/>
      </w:pPr>
      <w:r>
        <w:rPr/>
        <w:t>The large consumers are not contracting – hoping that the low regulated tariffs will last forever</w:t>
      </w:r>
    </w:p>
    <w:p>
      <w:pPr>
        <w:pStyle w:val="Normal"/>
        <w:numPr>
          <w:ilvl w:val="0"/>
          <w:numId w:val="0"/>
        </w:numPr>
        <w:ind w:hanging="0" w:start="0"/>
        <w:rPr/>
      </w:pPr>
      <w:r>
        <w:rPr/>
      </w:r>
    </w:p>
    <w:p>
      <w:pPr>
        <w:pStyle w:val="Normal"/>
        <w:numPr>
          <w:ilvl w:val="0"/>
          <w:numId w:val="0"/>
        </w:numPr>
        <w:ind w:hanging="0" w:start="0"/>
        <w:rPr/>
      </w:pPr>
      <w:r>
        <w:rPr/>
        <w:t>The long-term tariffs permitted by Aneel for regulated customers are insufficient to justify the expansion</w:t>
      </w:r>
    </w:p>
    <w:p>
      <w:pPr>
        <w:pStyle w:val="Normal"/>
        <w:numPr>
          <w:ilvl w:val="0"/>
          <w:numId w:val="0"/>
        </w:numPr>
        <w:ind w:hanging="0" w:start="0"/>
        <w:rPr/>
      </w:pPr>
      <w:r>
        <w:rPr/>
      </w:r>
    </w:p>
    <w:p>
      <w:pPr>
        <w:pStyle w:val="Normal"/>
        <w:numPr>
          <w:ilvl w:val="0"/>
          <w:numId w:val="0"/>
        </w:numPr>
        <w:ind w:hanging="0" w:start="0"/>
        <w:rPr/>
      </w:pPr>
      <w:r>
        <w:rPr/>
        <w:t>The distribution company customers have a regulated tariff – Distributors do not want to “buy high – sell low”</w:t>
      </w:r>
    </w:p>
    <w:p>
      <w:pPr>
        <w:pStyle w:val="Normal"/>
        <w:numPr>
          <w:ilvl w:val="0"/>
          <w:numId w:val="0"/>
        </w:numPr>
        <w:ind w:hanging="0" w:start="0"/>
        <w:rPr/>
      </w:pPr>
      <w:r>
        <w:rPr/>
      </w:r>
    </w:p>
    <w:p>
      <w:pPr>
        <w:pStyle w:val="Normal"/>
        <w:numPr>
          <w:ilvl w:val="0"/>
          <w:numId w:val="0"/>
        </w:numPr>
        <w:ind w:hanging="0" w:start="0"/>
        <w:rPr/>
      </w:pPr>
      <w:r>
        <w:rPr>
          <w:u w:val="single"/>
        </w:rPr>
        <w:t>Result</w:t>
      </w:r>
      <w:r>
        <w:rPr/>
        <w:t xml:space="preserve">.- Retreating each day from the vision of the initial competitive model. Improvisation to make do. </w:t>
      </w:r>
    </w:p>
    <w:p>
      <w:pPr>
        <w:pStyle w:val="Normal"/>
        <w:numPr>
          <w:ilvl w:val="0"/>
          <w:numId w:val="2"/>
        </w:numPr>
        <w:tabs>
          <w:tab w:val="clear" w:pos="720"/>
          <w:tab w:val="left" w:pos="0" w:leader="none"/>
        </w:tabs>
        <w:ind w:hanging="720" w:start="720" w:end="0"/>
        <w:rPr/>
      </w:pPr>
      <w:r>
        <w:rPr/>
        <w:t>Priority plans</w:t>
      </w:r>
    </w:p>
    <w:p>
      <w:pPr>
        <w:pStyle w:val="Normal"/>
        <w:numPr>
          <w:ilvl w:val="0"/>
          <w:numId w:val="2"/>
        </w:numPr>
        <w:tabs>
          <w:tab w:val="clear" w:pos="720"/>
          <w:tab w:val="left" w:pos="0" w:leader="none"/>
        </w:tabs>
        <w:ind w:hanging="720" w:start="720" w:end="0"/>
        <w:rPr/>
      </w:pPr>
      <w:r>
        <w:rPr/>
        <w:t>Emergency Contracting</w:t>
      </w:r>
    </w:p>
    <w:p>
      <w:pPr>
        <w:pStyle w:val="Normal"/>
        <w:numPr>
          <w:ilvl w:val="0"/>
          <w:numId w:val="2"/>
        </w:numPr>
        <w:tabs>
          <w:tab w:val="clear" w:pos="720"/>
          <w:tab w:val="left" w:pos="0" w:leader="none"/>
        </w:tabs>
        <w:ind w:hanging="720" w:start="720" w:end="0"/>
        <w:rPr/>
      </w:pPr>
      <w:r>
        <w:rPr/>
        <w:t>Administered pricing: gas, blend of national/imported for priority plans; electricity ,Valor Normativo</w:t>
      </w:r>
    </w:p>
    <w:p>
      <w:pPr>
        <w:pStyle w:val="Normal"/>
        <w:numPr>
          <w:ilvl w:val="0"/>
          <w:numId w:val="0"/>
        </w:numPr>
        <w:ind w:hanging="0" w:start="0"/>
        <w:rPr/>
      </w:pPr>
      <w:r>
        <w:rPr/>
      </w:r>
    </w:p>
    <w:p>
      <w:pPr>
        <w:pStyle w:val="Normal"/>
        <w:numPr>
          <w:ilvl w:val="0"/>
          <w:numId w:val="0"/>
        </w:numPr>
        <w:ind w:hanging="0" w:start="0"/>
        <w:rPr/>
      </w:pPr>
      <w:r>
        <w:rPr/>
        <w:t>We are at a crossroad of;</w:t>
      </w:r>
    </w:p>
    <w:p>
      <w:pPr>
        <w:pStyle w:val="Normal"/>
        <w:numPr>
          <w:ilvl w:val="0"/>
          <w:numId w:val="2"/>
        </w:numPr>
        <w:tabs>
          <w:tab w:val="clear" w:pos="720"/>
          <w:tab w:val="left" w:pos="0" w:leader="none"/>
        </w:tabs>
        <w:ind w:hanging="720" w:start="720" w:end="0"/>
        <w:rPr/>
      </w:pPr>
      <w:r>
        <w:rPr/>
        <w:t xml:space="preserve">limiting the capacity of expansion to the resources of the government with back-up participation from the private sector; or </w:t>
      </w:r>
    </w:p>
    <w:p>
      <w:pPr>
        <w:pStyle w:val="Normal"/>
        <w:numPr>
          <w:ilvl w:val="0"/>
          <w:numId w:val="2"/>
        </w:numPr>
        <w:tabs>
          <w:tab w:val="clear" w:pos="720"/>
          <w:tab w:val="left" w:pos="0" w:leader="none"/>
        </w:tabs>
        <w:ind w:hanging="720" w:start="720" w:end="0"/>
        <w:rPr/>
      </w:pPr>
      <w:r>
        <w:rPr/>
        <w:t>revitalizing the model to bring the long term benefits of competition to the energy consumer</w:t>
      </w:r>
    </w:p>
    <w:p>
      <w:pPr>
        <w:pStyle w:val="Normal"/>
        <w:numPr>
          <w:ilvl w:val="0"/>
          <w:numId w:val="0"/>
        </w:numPr>
        <w:tabs>
          <w:tab w:val="clear" w:pos="720"/>
          <w:tab w:val="left" w:pos="0" w:leader="none"/>
          <w:tab w:val="center" w:pos="4680" w:leader="none"/>
          <w:tab w:val="right" w:pos="9360" w:leader="none"/>
        </w:tabs>
        <w:ind w:hanging="0" w:start="0"/>
        <w:jc w:val="both"/>
        <w:rPr/>
      </w:pPr>
      <w:r>
        <w:rPr/>
      </w:r>
    </w:p>
    <w:p>
      <w:pPr>
        <w:pStyle w:val="Normal"/>
        <w:numPr>
          <w:ilvl w:val="0"/>
          <w:numId w:val="0"/>
        </w:numPr>
        <w:tabs>
          <w:tab w:val="clear" w:pos="720"/>
          <w:tab w:val="left" w:pos="0" w:leader="none"/>
          <w:tab w:val="center" w:pos="4680" w:leader="none"/>
          <w:tab w:val="right" w:pos="9360" w:leader="none"/>
        </w:tabs>
        <w:ind w:hanging="0" w:start="0"/>
        <w:jc w:val="both"/>
        <w:rPr/>
      </w:pPr>
      <w:r>
        <w:rPr/>
      </w:r>
    </w:p>
    <w:p>
      <w:pPr>
        <w:pStyle w:val="Heading1"/>
        <w:numPr>
          <w:ilvl w:val="0"/>
          <w:numId w:val="0"/>
        </w:numPr>
        <w:ind w:hanging="0" w:start="0"/>
        <w:jc w:val="center"/>
        <w:rPr/>
      </w:pPr>
      <w:r>
        <w:rPr/>
        <w:t>The Future- Revitalizing the sector Model</w:t>
      </w:r>
    </w:p>
    <w:p>
      <w:pPr>
        <w:pStyle w:val="Normal"/>
        <w:numPr>
          <w:ilvl w:val="0"/>
          <w:numId w:val="0"/>
        </w:numPr>
        <w:tabs>
          <w:tab w:val="clear" w:pos="720"/>
          <w:tab w:val="left" w:pos="0" w:leader="none"/>
          <w:tab w:val="center" w:pos="4680" w:leader="none"/>
          <w:tab w:val="right" w:pos="9360" w:leader="none"/>
        </w:tabs>
        <w:ind w:hanging="0" w:start="0"/>
        <w:jc w:val="both"/>
        <w:rPr/>
      </w:pPr>
      <w:r>
        <w:rPr/>
        <w:t xml:space="preserve">Energy supply objectives - Provide </w:t>
      </w:r>
      <w:r>
        <w:rPr>
          <w:u w:val="single"/>
        </w:rPr>
        <w:t>access</w:t>
      </w:r>
      <w:r>
        <w:rPr/>
        <w:t xml:space="preserve"> to </w:t>
      </w:r>
      <w:r>
        <w:rPr>
          <w:u w:val="single"/>
        </w:rPr>
        <w:t>reliable</w:t>
      </w:r>
      <w:r>
        <w:rPr/>
        <w:t xml:space="preserve"> energy supplies at </w:t>
      </w:r>
      <w:r>
        <w:rPr>
          <w:u w:val="single"/>
        </w:rPr>
        <w:t>competitive</w:t>
      </w:r>
      <w:r>
        <w:rPr/>
        <w:t xml:space="preserve"> prices and conditions, in </w:t>
      </w:r>
      <w:r>
        <w:rPr>
          <w:u w:val="single"/>
        </w:rPr>
        <w:t>harmony</w:t>
      </w:r>
      <w:r>
        <w:rPr/>
        <w:t xml:space="preserve"> with </w:t>
      </w:r>
      <w:r>
        <w:rPr>
          <w:u w:val="single"/>
        </w:rPr>
        <w:t>environmental</w:t>
      </w:r>
      <w:r>
        <w:rPr/>
        <w:t xml:space="preserve"> sustainability</w:t>
      </w:r>
    </w:p>
    <w:p>
      <w:pPr>
        <w:pStyle w:val="Normal"/>
        <w:numPr>
          <w:ilvl w:val="0"/>
          <w:numId w:val="0"/>
        </w:numPr>
        <w:tabs>
          <w:tab w:val="clear" w:pos="720"/>
          <w:tab w:val="left" w:pos="0" w:leader="none"/>
          <w:tab w:val="center" w:pos="4680" w:leader="none"/>
          <w:tab w:val="right" w:pos="9360" w:leader="none"/>
        </w:tabs>
        <w:ind w:hanging="0" w:start="0"/>
        <w:jc w:val="both"/>
        <w:rPr/>
      </w:pPr>
      <w:r>
        <w:rPr/>
      </w:r>
    </w:p>
    <w:p>
      <w:pPr>
        <w:pStyle w:val="Heading2"/>
        <w:numPr>
          <w:ilvl w:val="0"/>
          <w:numId w:val="0"/>
        </w:numPr>
        <w:ind w:hanging="0" w:start="0"/>
        <w:rPr>
          <w:color w:val="000000"/>
        </w:rPr>
      </w:pPr>
      <w:r>
        <w:rPr/>
        <w:t>Factors to be considered</w:t>
      </w:r>
    </w:p>
    <w:p>
      <w:pPr>
        <w:pStyle w:val="Normal"/>
        <w:numPr>
          <w:ilvl w:val="0"/>
          <w:numId w:val="2"/>
        </w:numPr>
        <w:tabs>
          <w:tab w:val="clear" w:pos="720"/>
          <w:tab w:val="left" w:pos="0" w:leader="none"/>
        </w:tabs>
        <w:ind w:hanging="720" w:start="720" w:end="0"/>
        <w:rPr>
          <w:color w:val="000000"/>
        </w:rPr>
      </w:pPr>
      <w:r>
        <w:rPr>
          <w:color w:val="000000"/>
        </w:rPr>
        <w:t>Attracting investments for expansion</w:t>
      </w:r>
    </w:p>
    <w:p>
      <w:pPr>
        <w:pStyle w:val="Normal"/>
        <w:numPr>
          <w:ilvl w:val="0"/>
          <w:numId w:val="2"/>
        </w:numPr>
        <w:tabs>
          <w:tab w:val="clear" w:pos="720"/>
          <w:tab w:val="left" w:pos="0" w:leader="none"/>
        </w:tabs>
        <w:ind w:hanging="720" w:start="720" w:end="0"/>
        <w:rPr>
          <w:color w:val="000000"/>
        </w:rPr>
      </w:pPr>
      <w:r>
        <w:rPr>
          <w:color w:val="000000"/>
        </w:rPr>
        <w:t>Water rights/ Water policies</w:t>
      </w:r>
    </w:p>
    <w:p>
      <w:pPr>
        <w:pStyle w:val="Normal"/>
        <w:numPr>
          <w:ilvl w:val="0"/>
          <w:numId w:val="2"/>
        </w:numPr>
        <w:tabs>
          <w:tab w:val="clear" w:pos="720"/>
          <w:tab w:val="left" w:pos="0" w:leader="none"/>
        </w:tabs>
        <w:ind w:hanging="720" w:start="720" w:end="0"/>
        <w:rPr>
          <w:color w:val="000000"/>
        </w:rPr>
      </w:pPr>
      <w:r>
        <w:rPr>
          <w:color w:val="000000"/>
        </w:rPr>
        <w:t>Tax policies</w:t>
      </w:r>
    </w:p>
    <w:p>
      <w:pPr>
        <w:pStyle w:val="Normal"/>
        <w:numPr>
          <w:ilvl w:val="0"/>
          <w:numId w:val="2"/>
        </w:numPr>
        <w:tabs>
          <w:tab w:val="clear" w:pos="720"/>
          <w:tab w:val="left" w:pos="0" w:leader="none"/>
        </w:tabs>
        <w:ind w:hanging="720" w:start="720" w:end="0"/>
        <w:rPr>
          <w:color w:val="000000"/>
        </w:rPr>
      </w:pPr>
      <w:r>
        <w:rPr>
          <w:color w:val="000000"/>
        </w:rPr>
        <w:t xml:space="preserve">Fiscal responsibility </w:t>
      </w:r>
    </w:p>
    <w:p>
      <w:pPr>
        <w:pStyle w:val="Normal"/>
        <w:numPr>
          <w:ilvl w:val="0"/>
          <w:numId w:val="2"/>
        </w:numPr>
        <w:tabs>
          <w:tab w:val="clear" w:pos="720"/>
          <w:tab w:val="left" w:pos="0" w:leader="none"/>
        </w:tabs>
        <w:ind w:hanging="720" w:start="720" w:end="0"/>
        <w:rPr>
          <w:color w:val="000000"/>
        </w:rPr>
      </w:pPr>
      <w:r>
        <w:rPr>
          <w:color w:val="000000"/>
        </w:rPr>
        <w:t>Currency Flows</w:t>
      </w:r>
    </w:p>
    <w:p>
      <w:pPr>
        <w:pStyle w:val="Normal"/>
        <w:numPr>
          <w:ilvl w:val="0"/>
          <w:numId w:val="2"/>
        </w:numPr>
        <w:tabs>
          <w:tab w:val="clear" w:pos="720"/>
          <w:tab w:val="left" w:pos="0" w:leader="none"/>
        </w:tabs>
        <w:ind w:hanging="720" w:start="720" w:end="0"/>
        <w:rPr>
          <w:color w:val="000000"/>
        </w:rPr>
      </w:pPr>
      <w:r>
        <w:rPr>
          <w:color w:val="000000"/>
        </w:rPr>
        <w:t>Energy Security</w:t>
      </w:r>
    </w:p>
    <w:p>
      <w:pPr>
        <w:pStyle w:val="Normal"/>
        <w:numPr>
          <w:ilvl w:val="0"/>
          <w:numId w:val="2"/>
        </w:numPr>
        <w:tabs>
          <w:tab w:val="clear" w:pos="720"/>
          <w:tab w:val="left" w:pos="0" w:leader="none"/>
        </w:tabs>
        <w:ind w:hanging="720" w:start="720" w:end="0"/>
        <w:rPr>
          <w:color w:val="000000"/>
        </w:rPr>
      </w:pPr>
      <w:r>
        <w:rPr>
          <w:color w:val="000000"/>
        </w:rPr>
        <w:t>Reliability level</w:t>
      </w:r>
    </w:p>
    <w:p>
      <w:pPr>
        <w:pStyle w:val="Normal"/>
        <w:numPr>
          <w:ilvl w:val="0"/>
          <w:numId w:val="2"/>
        </w:numPr>
        <w:tabs>
          <w:tab w:val="clear" w:pos="720"/>
          <w:tab w:val="left" w:pos="0" w:leader="none"/>
        </w:tabs>
        <w:ind w:hanging="720" w:start="720" w:end="0"/>
        <w:rPr>
          <w:color w:val="000000"/>
        </w:rPr>
      </w:pPr>
      <w:r>
        <w:rPr>
          <w:color w:val="000000"/>
        </w:rPr>
        <w:t>Environmental Impacts</w:t>
      </w:r>
    </w:p>
    <w:p>
      <w:pPr>
        <w:pStyle w:val="Normal"/>
        <w:numPr>
          <w:ilvl w:val="0"/>
          <w:numId w:val="2"/>
        </w:numPr>
        <w:tabs>
          <w:tab w:val="clear" w:pos="720"/>
          <w:tab w:val="left" w:pos="0" w:leader="none"/>
        </w:tabs>
        <w:ind w:hanging="720" w:start="720" w:end="0"/>
        <w:rPr>
          <w:color w:val="000000"/>
        </w:rPr>
      </w:pPr>
      <w:r>
        <w:rPr>
          <w:color w:val="000000"/>
        </w:rPr>
        <w:t>International Trade/Mercosul</w:t>
      </w:r>
    </w:p>
    <w:p>
      <w:pPr>
        <w:pStyle w:val="Normal"/>
        <w:numPr>
          <w:ilvl w:val="0"/>
          <w:numId w:val="2"/>
        </w:numPr>
        <w:tabs>
          <w:tab w:val="clear" w:pos="720"/>
          <w:tab w:val="left" w:pos="0" w:leader="none"/>
        </w:tabs>
        <w:ind w:hanging="720" w:start="720" w:end="0"/>
        <w:rPr>
          <w:color w:val="000000"/>
        </w:rPr>
      </w:pPr>
      <w:r>
        <w:rPr>
          <w:color w:val="000000"/>
        </w:rPr>
        <w:t>Subsidies/ Subsidized rates .- “Life-line” tariffs -  Industrial development  Access/Rural electrification</w:t>
      </w:r>
    </w:p>
    <w:p>
      <w:pPr>
        <w:pStyle w:val="Normal"/>
        <w:numPr>
          <w:ilvl w:val="0"/>
          <w:numId w:val="2"/>
        </w:numPr>
        <w:tabs>
          <w:tab w:val="clear" w:pos="720"/>
          <w:tab w:val="left" w:pos="0" w:leader="none"/>
        </w:tabs>
        <w:ind w:hanging="720" w:start="720" w:end="0"/>
        <w:rPr>
          <w:color w:val="000000"/>
        </w:rPr>
      </w:pPr>
      <w:r>
        <w:rPr>
          <w:color w:val="000000"/>
        </w:rPr>
        <w:t>…</w:t>
      </w:r>
      <w:r>
        <w:rPr>
          <w:color w:val="000000"/>
        </w:rPr>
        <w:t>and more ...</w:t>
      </w:r>
    </w:p>
    <w:p>
      <w:pPr>
        <w:pStyle w:val="Normal"/>
        <w:numPr>
          <w:ilvl w:val="0"/>
          <w:numId w:val="0"/>
        </w:numPr>
        <w:ind w:hanging="0" w:start="0"/>
        <w:rPr>
          <w:color w:val="000000"/>
        </w:rPr>
      </w:pPr>
      <w:r>
        <w:rPr>
          <w:color w:val="000000"/>
        </w:rPr>
      </w:r>
    </w:p>
    <w:p>
      <w:pPr>
        <w:pStyle w:val="Heading2"/>
        <w:numPr>
          <w:ilvl w:val="0"/>
          <w:numId w:val="0"/>
        </w:numPr>
        <w:ind w:hanging="0" w:start="0"/>
        <w:rPr>
          <w:color w:val="000000"/>
        </w:rPr>
      </w:pPr>
      <w:r>
        <w:rPr/>
        <w:t>Policy Implementation choices</w:t>
      </w:r>
    </w:p>
    <w:p>
      <w:pPr>
        <w:pStyle w:val="Normal"/>
        <w:numPr>
          <w:ilvl w:val="0"/>
          <w:numId w:val="0"/>
        </w:numPr>
        <w:ind w:hanging="0" w:start="0"/>
        <w:rPr>
          <w:color w:val="000000"/>
        </w:rPr>
      </w:pPr>
      <w:r>
        <w:rPr>
          <w:color w:val="000000"/>
        </w:rPr>
        <w:t>Public vs Private management for segments</w:t>
      </w:r>
    </w:p>
    <w:p>
      <w:pPr>
        <w:pStyle w:val="Normal"/>
        <w:numPr>
          <w:ilvl w:val="0"/>
          <w:numId w:val="0"/>
        </w:numPr>
        <w:ind w:hanging="0" w:start="0"/>
        <w:rPr>
          <w:color w:val="000000"/>
        </w:rPr>
      </w:pPr>
      <w:r>
        <w:rPr>
          <w:color w:val="000000"/>
        </w:rPr>
        <w:t>Reliance on “market solutions” vs. regulatory processes</w:t>
      </w:r>
    </w:p>
    <w:p>
      <w:pPr>
        <w:pStyle w:val="Normal"/>
        <w:numPr>
          <w:ilvl w:val="0"/>
          <w:numId w:val="0"/>
        </w:numPr>
        <w:ind w:hanging="0" w:start="0"/>
        <w:rPr>
          <w:color w:val="000000"/>
        </w:rPr>
      </w:pPr>
      <w:r>
        <w:rPr>
          <w:color w:val="000000"/>
        </w:rPr>
      </w:r>
    </w:p>
    <w:p>
      <w:pPr>
        <w:pStyle w:val="Heading2"/>
        <w:numPr>
          <w:ilvl w:val="0"/>
          <w:numId w:val="0"/>
        </w:numPr>
        <w:ind w:hanging="0" w:start="0"/>
        <w:rPr>
          <w:color w:val="000000"/>
        </w:rPr>
      </w:pPr>
      <w:r>
        <w:rPr/>
        <w:t xml:space="preserve">Institutional capabilities to </w:t>
      </w:r>
      <w:r>
        <w:rPr>
          <w:u w:val="single"/>
        </w:rPr>
        <w:t>enable</w:t>
      </w:r>
      <w:r>
        <w:rPr/>
        <w:t xml:space="preserve"> execution of choices</w:t>
      </w:r>
    </w:p>
    <w:p>
      <w:pPr>
        <w:pStyle w:val="Normal"/>
        <w:numPr>
          <w:ilvl w:val="0"/>
          <w:numId w:val="0"/>
        </w:numPr>
        <w:ind w:hanging="0" w:start="0"/>
        <w:rPr>
          <w:color w:val="000000"/>
        </w:rPr>
      </w:pPr>
      <w:r>
        <w:rPr>
          <w:color w:val="000000"/>
        </w:rPr>
        <w:t>Government - Policies- Institutions- Rules</w:t>
      </w:r>
    </w:p>
    <w:p>
      <w:pPr>
        <w:pStyle w:val="Normal"/>
        <w:numPr>
          <w:ilvl w:val="0"/>
          <w:numId w:val="0"/>
        </w:numPr>
        <w:tabs>
          <w:tab w:val="clear" w:pos="720"/>
          <w:tab w:val="left" w:pos="0" w:leader="none"/>
          <w:tab w:val="center" w:pos="4680" w:leader="none"/>
          <w:tab w:val="right" w:pos="9360" w:leader="none"/>
        </w:tabs>
        <w:ind w:hanging="0" w:start="0"/>
        <w:jc w:val="both"/>
        <w:rPr>
          <w:color w:val="000000"/>
        </w:rPr>
      </w:pPr>
      <w:r>
        <w:rPr>
          <w:color w:val="000000"/>
        </w:rPr>
      </w:r>
    </w:p>
    <w:p>
      <w:pPr>
        <w:pStyle w:val="Heading1"/>
        <w:numPr>
          <w:ilvl w:val="0"/>
          <w:numId w:val="0"/>
        </w:numPr>
        <w:ind w:hanging="0" w:start="0"/>
        <w:jc w:val="center"/>
        <w:rPr/>
      </w:pPr>
      <w:r>
        <w:rPr/>
        <w:t>Conclusion</w:t>
      </w:r>
    </w:p>
    <w:p>
      <w:pPr>
        <w:pStyle w:val="Normal"/>
        <w:numPr>
          <w:ilvl w:val="0"/>
          <w:numId w:val="2"/>
        </w:numPr>
        <w:tabs>
          <w:tab w:val="clear" w:pos="720"/>
          <w:tab w:val="left" w:pos="0" w:leader="none"/>
        </w:tabs>
        <w:ind w:hanging="720" w:start="720" w:end="0"/>
        <w:rPr>
          <w:color w:val="000000"/>
        </w:rPr>
      </w:pPr>
      <w:r>
        <w:rPr>
          <w:color w:val="000000"/>
        </w:rPr>
        <w:t>The Private sector can play a significant role under market rules and/or regulatory processes. However, the institutional framework has be conducive to private sector participation and its deployment has to be credible.</w:t>
      </w:r>
    </w:p>
    <w:p>
      <w:pPr>
        <w:pStyle w:val="Normal"/>
        <w:numPr>
          <w:ilvl w:val="0"/>
          <w:numId w:val="0"/>
        </w:numPr>
        <w:ind w:hanging="0" w:start="540" w:end="0"/>
        <w:rPr>
          <w:color w:val="000000"/>
        </w:rPr>
      </w:pPr>
      <w:r>
        <w:rPr>
          <w:color w:val="000000"/>
        </w:rPr>
      </w:r>
    </w:p>
    <w:p>
      <w:pPr>
        <w:pStyle w:val="Normal"/>
        <w:numPr>
          <w:ilvl w:val="0"/>
          <w:numId w:val="2"/>
        </w:numPr>
        <w:tabs>
          <w:tab w:val="clear" w:pos="720"/>
          <w:tab w:val="left" w:pos="0" w:leader="none"/>
        </w:tabs>
        <w:ind w:hanging="720" w:start="720" w:end="0"/>
        <w:rPr>
          <w:color w:val="000000"/>
        </w:rPr>
      </w:pPr>
      <w:r>
        <w:rPr>
          <w:color w:val="000000"/>
        </w:rPr>
        <w:t>The Crisis has created an  unique opportunity to debate conflicting issues to determine a long-term path.</w:t>
      </w:r>
    </w:p>
    <w:p>
      <w:pPr>
        <w:pStyle w:val="Normal"/>
        <w:numPr>
          <w:ilvl w:val="0"/>
          <w:numId w:val="0"/>
        </w:numPr>
        <w:ind w:hanging="0" w:start="540" w:end="0"/>
        <w:rPr>
          <w:color w:val="000000"/>
        </w:rPr>
      </w:pPr>
      <w:r>
        <w:rPr>
          <w:color w:val="000000"/>
        </w:rPr>
      </w:r>
    </w:p>
    <w:p>
      <w:pPr>
        <w:pStyle w:val="Normal"/>
        <w:numPr>
          <w:ilvl w:val="0"/>
          <w:numId w:val="2"/>
        </w:numPr>
        <w:tabs>
          <w:tab w:val="clear" w:pos="720"/>
          <w:tab w:val="left" w:pos="0" w:leader="none"/>
          <w:tab w:val="center" w:pos="4320" w:leader="none"/>
          <w:tab w:val="right" w:pos="9000" w:leader="none"/>
        </w:tabs>
        <w:ind w:hanging="360" w:start="720" w:end="0"/>
        <w:jc w:val="both"/>
        <w:rPr>
          <w:color w:val="000000"/>
        </w:rPr>
      </w:pPr>
      <w:r>
        <w:rPr>
          <w:color w:val="000000"/>
        </w:rPr>
        <w:t>The “legitimacy” of the policy direction will depend on broad support by society</w:t>
      </w:r>
    </w:p>
    <w:p>
      <w:pPr>
        <w:pStyle w:val="Normal"/>
        <w:tabs>
          <w:tab w:val="clear" w:pos="720"/>
          <w:tab w:val="left" w:pos="0" w:leader="none"/>
          <w:tab w:val="center" w:pos="4680" w:leader="none"/>
          <w:tab w:val="right" w:pos="9360" w:leader="none"/>
        </w:tabs>
        <w:jc w:val="both"/>
        <w:rPr/>
      </w:pPr>
      <w:r>
        <w:rPr/>
      </w:r>
    </w:p>
    <w:p>
      <w:pPr>
        <w:pStyle w:val="Normal"/>
        <w:tabs>
          <w:tab w:val="clear" w:pos="720"/>
          <w:tab w:val="left" w:pos="0" w:leader="none"/>
          <w:tab w:val="center" w:pos="4680" w:leader="none"/>
          <w:tab w:val="right" w:pos="9360" w:leader="none"/>
        </w:tabs>
        <w:jc w:val="both"/>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Comic Sans MS">
    <w:charset w:val="01"/>
    <w:family w:val="script"/>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sz w:val="16"/>
        <w:szCs w:val="16"/>
      </w:rPr>
      <w:t>Jose Bestard</w:t>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rStyle w:val="PageNumber"/>
        <w:sz w:val="16"/>
        <w:szCs w:val="16"/>
      </w:rPr>
      <w:t xml:space="preserve">Oct 26, 2001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before="240" w:after="60"/>
      <w:ind w:hanging="0" w:start="0"/>
      <w:jc w:val="center"/>
      <w:rPr>
        <w:sz w:val="24"/>
        <w:szCs w:val="24"/>
      </w:rPr>
    </w:pPr>
    <w:r>
      <w:rPr>
        <w:sz w:val="24"/>
        <w:szCs w:val="24"/>
      </w:rPr>
      <w:t>Brazil-U.S. Business Council Meeting – Oct 29-30, 2001</w:t>
    </w:r>
  </w:p>
  <w:p>
    <w:pPr>
      <w:pStyle w:val="Normal"/>
      <w:jc w:val="center"/>
      <w:rPr>
        <w:rFonts w:ascii="Comic Sans MS" w:hAnsi="Comic Sans MS" w:eastAsia="Comic Sans MS" w:cs="Comic Sans MS"/>
        <w:sz w:val="24"/>
        <w:szCs w:val="24"/>
      </w:rPr>
    </w:pPr>
    <w:r>
      <w:rPr>
        <w:rFonts w:eastAsia="Comic Sans MS" w:cs="Comic Sans MS" w:ascii="Comic Sans MS" w:hAnsi="Comic Sans MS"/>
        <w:sz w:val="24"/>
        <w:szCs w:val="24"/>
      </w:rPr>
      <w:t>Meeting the Energy Challenge; Public/Private Solutions for Brazil’s Energy Crisis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Atopic</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2001-10-25T22:06:00Z</dcterms:created>
  <dc:creator>Jose Bestard</dc:creator>
  <dc:description/>
  <dc:language>en-CA</dc:language>
  <cp:lastModifiedBy>Jose Bestard</cp:lastModifiedBy>
  <dcterms:modified xsi:type="dcterms:W3CDTF">2001-10-26T15:53:00Z</dcterms:modified>
  <cp:revision>40</cp:revision>
  <dc:subject/>
  <dc:title>Key Messages</dc:title>
</cp:coreProperties>
</file>