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 xml:space="preserve">CONFIRMATION </w:t>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 xml:space="preserve">Swap Transaction </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Determination Period:</w:t>
        <w:tab/>
        <w:t>1,620 Barrels per month</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Platts USGC LS #2</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Barrels (BBL) (42 U.S. Gallons)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t>09/04/01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10/01/01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Termination Date:</w:t>
        <w:tab/>
        <w:tab/>
        <w:t>12/31/01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4140" w:start="4140" w:end="0"/>
        <w:rPr>
          <w:sz w:val="22"/>
        </w:rPr>
      </w:pPr>
      <w:r>
        <w:rPr>
          <w:sz w:val="22"/>
        </w:rPr>
        <w:t>Determination Period(s):</w:t>
        <w:tab/>
        <w:t>Each calendar month beginning with the Effective Date and ending with the Termination Date</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 Payor:</w:t>
        <w:tab/>
        <w:tab/>
        <w:t>Counterparty</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t xml:space="preserve">USD 0.0520 per Gallon (U.S.)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810" w:start="90" w:end="0"/>
        <w:rPr>
          <w:sz w:val="22"/>
        </w:rPr>
      </w:pPr>
      <w:r>
        <w:rPr>
          <w:sz w:val="22"/>
        </w:rPr>
        <w:tab/>
        <w:t>Floating Price Payor:</w:t>
        <w:tab/>
        <w:tab/>
        <w:t>ENA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t>Floating Price:</w:t>
        <w:tab/>
        <w:tab/>
        <w:t>The greater of: (i) zero (0.00) or (ii) the arithmetic average of the means of the daily high and low quotations for Low Sulfur Diesel Oil in the table entitled “Product Price Assessments:  U.S. Gulf Coast:  LS No. 2” “Pipeline” for the issue of Pleatt’s Oilgram Report published for each day on which Platt’s Oilgram Report is published during the Determination Period minus 0.7573.</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Cash Settlement Amount:</w:t>
        <w:tab/>
        <w:tab/>
        <w:t xml:space="preserve">For each Determination Period, on the applicable Payment Date, if (A) the Floating Price is greater than the Fixed Price for the relevant Determination Period the Floating Price Payor shall pay the Fixed Price Payor the product of (i) the Notional Amount and (ii) the difference between the Floating Price and the Fixed Price, or (B) the Fixed Price is greater than the Floating Price for the relevant Determination Period the Fixed Price Payor shall pay the Floating Price Payor the product of (i) the Notional Amount and (ii) the difference between the Fixed Price and the Floating Price. </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Payment Date(s):</w:t>
        <w:tab/>
        <w:tab/>
        <w:t>The fifth (5</w:t>
      </w:r>
      <w:r>
        <w:rPr>
          <w:sz w:val="22"/>
          <w:vertAlign w:val="superscript"/>
        </w:rPr>
        <w:t>th</w:t>
      </w:r>
      <w:r>
        <w:rPr>
          <w:sz w:val="22"/>
        </w:rPr>
        <w:t>) Business Day following the date on which the Floating Price is determinable</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Contractual Currency:</w:t>
        <w:tab/>
      </w:r>
      <w:r>
        <w:rPr>
          <w:bCs/>
          <w:sz w:val="22"/>
        </w:rPr>
        <w:t>USD</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ab/>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Governing Law:</w:t>
        <w:tab/>
        <w:tab/>
      </w:r>
      <w:r>
        <w:rPr>
          <w:bCs/>
          <w:sz w:val="22"/>
        </w:rPr>
        <w:t>New York</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ab/>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t>Section 1(b) of Annex A attached hereto is hereby deleted and replaced with the following provision:</w:t>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r>
    </w:p>
    <w:p>
      <w:pPr>
        <w:pStyle w:val="BodyTextIndent"/>
        <w:tabs>
          <w:tab w:val="left" w:pos="90" w:leader="none"/>
          <w:tab w:val="left" w:pos="810" w:leader="none"/>
          <w:tab w:val="left" w:pos="2160" w:leader="none"/>
          <w:tab w:val="left" w:pos="4140" w:leader="none"/>
          <w:tab w:val="left" w:pos="6480" w:leader="none"/>
        </w:tabs>
        <w:ind w:start="0" w:end="0"/>
        <w:rPr>
          <w:sz w:val="22"/>
        </w:rPr>
      </w:pPr>
      <w:r>
        <w:rPr>
          <w:sz w:val="22"/>
          <w:szCs w:val="22"/>
        </w:rPr>
        <w:t>“</w:t>
      </w:r>
      <w:r>
        <w:rPr>
          <w:sz w:val="22"/>
          <w:szCs w:val="22"/>
          <w:u w:val="single"/>
        </w:rPr>
        <w:t>Eligibility</w:t>
      </w:r>
      <w:r>
        <w:rPr>
          <w:sz w:val="22"/>
          <w:szCs w:val="22"/>
        </w:rPr>
        <w:t xml:space="preserve"> It constitutes an “eligible contract participant” as such term is defined in the Commodity Exchange Act, as amended 7 U.S.C. §1a(12)”</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16"/>
        </w:rPr>
      </w:pPr>
      <w:r>
        <w:rPr>
          <w:b/>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r>
        <w:br w:type="pag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/mnt/main-storage/datasets/enron-docs/doc/USFilterfixedbasisswap_10_01_01_-532f2a6f0adc3306a10ac7f095c1aaae9b4837c13f4dcb63c021597f549003db.doc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t>Draft—For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2001-10-01T19:49:00Z</dcterms:created>
  <dc:creator>wende warren</dc:creator>
  <dc:description/>
  <dc:language>en-CA</dc:language>
  <cp:lastModifiedBy>bhendry</cp:lastModifiedBy>
  <cp:lastPrinted>2001-10-01T17:24:00Z</cp:lastPrinted>
  <dcterms:modified xsi:type="dcterms:W3CDTF">2001-10-02T16:30:00Z</dcterms:modified>
  <cp:revision>5</cp:revision>
  <dc:subject/>
  <dc:title/>
</cp:coreProperties>
</file>