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 USD/CAD financial transaction with Enron North America under which either (A) for the case in which Counterparty submits an offer to buy from Enron NA, Counterparty shall pay the Fixed Price and shall receive the Bank of Canada’s Noon Rate, each in respect of the USD Notional Quantity per Determination Period; or (B) for the case in which Counterparty submits an offer to sell to Enron NA, Counterparty shall receive the Fixed Price and shall pay the Bank of Canada’s Noon Rate, each in respect of the USD Notional Quantity per Determination Period. Each calendar month during the term of the Transaction will be a Determination Period. The USD Notional Quantity per Determination Period is the Transacted USD Quantity divided by the months in the term. The Settlement Date will be the last business day of the Determination Period. The Settlement Price is the Bank of Canada’s Noon Day Rate as posted on Rueters page BOFC. The term of the Transaction shall be from the 1</w:t>
      </w:r>
      <w:r>
        <w:rPr>
          <w:vertAlign w:val="superscript"/>
        </w:rPr>
        <w:t>st</w:t>
      </w:r>
      <w:r>
        <w:rPr/>
        <w:t xml:space="preserve"> day of the start month to the last business day of the end month. The price is quoted as CAD per unit of USD, which is the base currency.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2000-07-25T19:49:00Z</dcterms:created>
  <dc:creator>Charla and Stuart</dc:creator>
  <dc:description/>
  <dc:language>en-CA</dc:language>
  <cp:lastModifiedBy>wstuart</cp:lastModifiedBy>
  <cp:lastPrinted>2000-07-25T14:22:00Z</cp:lastPrinted>
  <dcterms:modified xsi:type="dcterms:W3CDTF">2000-07-25T19:49:00Z</dcterms:modified>
  <cp:revision>2</cp:revision>
  <dc:subject/>
  <dc:title>A USD/CAD financial transaction with Enron North America under which either (A) for the case in which Counterparty submits an offer to buy from Enron, Counterparty shall pay the Fixed Price and shall receive the Bank of Canada’s Noon Rate, each in respect</dc:title>
</cp:coreProperties>
</file>