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rFonts w:ascii="Times New Roman" w:hAnsi="Times New Roman" w:cs="Times New Roman"/>
        </w:rPr>
      </w:pPr>
      <w:r>
        <w:rPr>
          <w:rFonts w:cs="Times New Roman" w:ascii="Times New Roman" w:hAnsi="Times New Roman"/>
        </w:rPr>
      </w:r>
    </w:p>
    <w:tbl>
      <w:tblPr>
        <w:tblW w:w="10800" w:type="dxa"/>
        <w:jc w:val="start"/>
        <w:tblInd w:w="108" w:type="dxa"/>
        <w:tblLayout w:type="fixed"/>
        <w:tblCellMar>
          <w:top w:w="0" w:type="dxa"/>
          <w:start w:w="108" w:type="dxa"/>
          <w:bottom w:w="0" w:type="dxa"/>
          <w:end w:w="108" w:type="dxa"/>
        </w:tblCellMar>
      </w:tblPr>
      <w:tblGrid>
        <w:gridCol w:w="800"/>
        <w:gridCol w:w="6045"/>
        <w:gridCol w:w="990"/>
        <w:gridCol w:w="2965"/>
      </w:tblGrid>
      <w:tr>
        <w:trPr>
          <w:trHeight w:val="300" w:hRule="exact"/>
        </w:trPr>
        <w:tc>
          <w:tcPr>
            <w:tcW w:w="800" w:type="dxa"/>
            <w:tcBorders/>
          </w:tcPr>
          <w:p>
            <w:pPr>
              <w:pStyle w:val="Normal"/>
              <w:ind w:start="-180" w:end="0"/>
              <w:jc w:val="end"/>
              <w:rPr>
                <w:sz w:val="16"/>
              </w:rPr>
            </w:pPr>
            <w:r>
              <w:rPr>
                <w:sz w:val="16"/>
              </w:rPr>
              <w:t>To:</w:t>
            </w:r>
          </w:p>
        </w:tc>
        <w:tc>
          <w:tcPr>
            <w:tcW w:w="6045" w:type="dxa"/>
            <w:tcBorders/>
          </w:tcPr>
          <w:p>
            <w:pPr>
              <w:pStyle w:val="To"/>
              <w:rPr>
                <w:rFonts w:ascii="Times New Roman" w:hAnsi="Times New Roman" w:cs="Times New Roman"/>
              </w:rPr>
            </w:pPr>
            <w:r>
              <w:rPr>
                <w:rFonts w:cs="Times New Roman" w:ascii="Times New Roman" w:hAnsi="Times New Roman"/>
              </w:rPr>
              <w:t xml:space="preserve">Ag Distribution </w:t>
            </w:r>
          </w:p>
        </w:tc>
        <w:tc>
          <w:tcPr>
            <w:tcW w:w="990" w:type="dxa"/>
            <w:tcBorders/>
          </w:tcPr>
          <w:p>
            <w:pPr>
              <w:pStyle w:val="Normal"/>
              <w:snapToGrid w:val="false"/>
              <w:ind w:start="-180" w:end="0"/>
              <w:rPr>
                <w:rFonts w:ascii="Times New Roman" w:hAnsi="Times New Roman" w:cs="Times New Roman"/>
              </w:rPr>
            </w:pPr>
            <w:r>
              <w:rPr>
                <w:rFonts w:cs="Times New Roman"/>
              </w:rPr>
            </w:r>
          </w:p>
        </w:tc>
        <w:tc>
          <w:tcPr>
            <w:tcW w:w="2965" w:type="dxa"/>
            <w:tcBorders/>
          </w:tcPr>
          <w:p>
            <w:pPr>
              <w:pStyle w:val="Normal"/>
              <w:snapToGrid w:val="false"/>
              <w:rPr/>
            </w:pPr>
            <w:r>
              <w:rPr/>
            </w:r>
          </w:p>
        </w:tc>
      </w:tr>
      <w:tr>
        <w:trPr>
          <w:trHeight w:val="216" w:hRule="exact"/>
        </w:trPr>
        <w:tc>
          <w:tcPr>
            <w:tcW w:w="800"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800" w:type="dxa"/>
            <w:tcBorders/>
          </w:tcPr>
          <w:p>
            <w:pPr>
              <w:pStyle w:val="Normal"/>
              <w:ind w:start="-180" w:end="0"/>
              <w:jc w:val="end"/>
              <w:rPr>
                <w:sz w:val="16"/>
              </w:rPr>
            </w:pPr>
            <w:r>
              <w:rPr>
                <w:sz w:val="16"/>
              </w:rPr>
              <w:t>From:</w:t>
            </w:r>
          </w:p>
        </w:tc>
        <w:tc>
          <w:tcPr>
            <w:tcW w:w="6045" w:type="dxa"/>
            <w:tcBorders/>
          </w:tcPr>
          <w:p>
            <w:pPr>
              <w:pStyle w:val="From"/>
              <w:rPr>
                <w:rFonts w:ascii="Times New Roman" w:hAnsi="Times New Roman" w:cs="Times New Roman"/>
              </w:rPr>
            </w:pPr>
            <w:r>
              <w:rPr>
                <w:rFonts w:cs="Times New Roman" w:ascii="Times New Roman" w:hAnsi="Times New Roman"/>
              </w:rPr>
              <w:t>Nelson Neale, Masha Arefieva</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rFonts w:ascii="Times New Roman" w:hAnsi="Times New Roman" w:cs="Times New Roman"/>
              </w:rPr>
            </w:pPr>
            <w:bookmarkStart w:id="0" w:name="From"/>
            <w:bookmarkEnd w:id="0"/>
            <w:r>
              <w:rPr>
                <w:rFonts w:cs="Times New Roman" w:ascii="Times New Roman" w:hAnsi="Times New Roman"/>
              </w:rPr>
              <w:t>EGM Agriculture Trading</w:t>
            </w:r>
          </w:p>
        </w:tc>
      </w:tr>
      <w:tr>
        <w:trPr>
          <w:trHeight w:val="91" w:hRule="exact"/>
        </w:trPr>
        <w:tc>
          <w:tcPr>
            <w:tcW w:w="800" w:type="dxa"/>
            <w:tcBorders/>
          </w:tcPr>
          <w:p>
            <w:pPr>
              <w:pStyle w:val="Normal"/>
              <w:snapToGrid w:val="false"/>
              <w:ind w:start="-180" w:end="0"/>
              <w:jc w:val="end"/>
              <w:rPr>
                <w:rFonts w:ascii="Times New Roman" w:hAnsi="Times New Roman" w:cs="Times New Roman"/>
                <w:sz w:val="20"/>
              </w:rPr>
            </w:pPr>
            <w:r>
              <w:rPr>
                <w:rFonts w:cs="Times New Roman"/>
                <w:sz w:val="20"/>
              </w:rPr>
            </w:r>
          </w:p>
        </w:tc>
        <w:tc>
          <w:tcPr>
            <w:tcW w:w="6045" w:type="dxa"/>
            <w:tcBorders/>
          </w:tcPr>
          <w:p>
            <w:pPr>
              <w:pStyle w:val="Normal"/>
              <w:snapToGrid w:val="false"/>
              <w:rPr>
                <w:sz w:val="20"/>
              </w:rPr>
            </w:pPr>
            <w:r>
              <w:rPr>
                <w:sz w:val="20"/>
              </w:rPr>
            </w:r>
          </w:p>
        </w:tc>
        <w:tc>
          <w:tcPr>
            <w:tcW w:w="990" w:type="dxa"/>
            <w:tcBorders/>
          </w:tcPr>
          <w:p>
            <w:pPr>
              <w:pStyle w:val="Normal"/>
              <w:snapToGrid w:val="false"/>
              <w:ind w:start="-180" w:end="0"/>
              <w:rPr>
                <w:sz w:val="20"/>
              </w:rPr>
            </w:pPr>
            <w:r>
              <w:rPr>
                <w:sz w:val="20"/>
              </w:rPr>
            </w:r>
          </w:p>
        </w:tc>
        <w:tc>
          <w:tcPr>
            <w:tcW w:w="2965" w:type="dxa"/>
            <w:tcBorders/>
          </w:tcPr>
          <w:p>
            <w:pPr>
              <w:pStyle w:val="Normal"/>
              <w:snapToGrid w:val="false"/>
              <w:rPr>
                <w:sz w:val="20"/>
              </w:rPr>
            </w:pPr>
            <w:r>
              <w:rPr>
                <w:sz w:val="20"/>
              </w:rPr>
            </w:r>
          </w:p>
        </w:tc>
      </w:tr>
      <w:tr>
        <w:trPr>
          <w:trHeight w:val="600" w:hRule="exact"/>
        </w:trPr>
        <w:tc>
          <w:tcPr>
            <w:tcW w:w="800" w:type="dxa"/>
            <w:tcBorders>
              <w:bottom w:val="single" w:sz="12" w:space="0" w:color="000000"/>
            </w:tcBorders>
          </w:tcPr>
          <w:p>
            <w:pPr>
              <w:pStyle w:val="Normal"/>
              <w:ind w:start="-180" w:end="0"/>
              <w:jc w:val="end"/>
              <w:rPr>
                <w:sz w:val="20"/>
              </w:rPr>
            </w:pPr>
            <w:r>
              <w:rPr>
                <w:sz w:val="20"/>
              </w:rPr>
              <w:t>Subject:</w:t>
            </w:r>
          </w:p>
        </w:tc>
        <w:tc>
          <w:tcPr>
            <w:tcW w:w="6045" w:type="dxa"/>
            <w:tcBorders>
              <w:bottom w:val="single" w:sz="12" w:space="0" w:color="000000"/>
            </w:tcBorders>
          </w:tcPr>
          <w:p>
            <w:pPr>
              <w:pStyle w:val="Subject"/>
              <w:rPr>
                <w:rFonts w:ascii="Times New Roman" w:hAnsi="Times New Roman" w:cs="Times New Roman"/>
              </w:rPr>
            </w:pPr>
            <w:r>
              <w:rPr>
                <w:rFonts w:cs="Times New Roman" w:ascii="Times New Roman" w:hAnsi="Times New Roman"/>
              </w:rPr>
              <w:t>USDA Agricultural Outlook Forum 1</w:t>
            </w:r>
          </w:p>
        </w:tc>
        <w:tc>
          <w:tcPr>
            <w:tcW w:w="990" w:type="dxa"/>
            <w:tcBorders>
              <w:bottom w:val="single" w:sz="12" w:space="0" w:color="000000"/>
            </w:tcBorders>
          </w:tcPr>
          <w:p>
            <w:pPr>
              <w:pStyle w:val="Normal"/>
              <w:ind w:start="-180" w:end="0"/>
              <w:jc w:val="end"/>
              <w:rPr>
                <w:sz w:val="20"/>
              </w:rPr>
            </w:pPr>
            <w:r>
              <w:rPr>
                <w:sz w:val="20"/>
              </w:rPr>
              <w:t>Date:</w:t>
            </w:r>
          </w:p>
        </w:tc>
        <w:tc>
          <w:tcPr>
            <w:tcW w:w="2965" w:type="dxa"/>
            <w:tcBorders>
              <w:bottom w:val="single" w:sz="12" w:space="0" w:color="000000"/>
            </w:tcBorders>
          </w:tcPr>
          <w:p>
            <w:pPr>
              <w:pStyle w:val="Date"/>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rPr>
          <w:sz w:val="24"/>
        </w:rPr>
      </w:pPr>
      <w:r>
        <w:rPr>
          <w:sz w:val="24"/>
        </w:rPr>
      </w:r>
      <w:bookmarkStart w:id="1" w:name="StartOfMemo"/>
      <w:bookmarkStart w:id="2" w:name="StartOfMemo"/>
      <w:bookmarkEnd w:id="2"/>
    </w:p>
    <w:p>
      <w:pPr>
        <w:pStyle w:val="Body"/>
        <w:rPr>
          <w:rFonts w:ascii="Times New Roman" w:hAnsi="Times New Roman" w:cs="Times New Roman"/>
          <w:sz w:val="24"/>
          <w:u w:val="single"/>
        </w:rPr>
      </w:pPr>
      <w:r>
        <w:rPr>
          <w:rFonts w:cs="Times New Roman" w:ascii="Times New Roman" w:hAnsi="Times New Roman"/>
          <w:sz w:val="24"/>
          <w:u w:val="single"/>
        </w:rPr>
        <w:t>Purpose</w:t>
      </w:r>
    </w:p>
    <w:p>
      <w:pPr>
        <w:pStyle w:val="CopyList"/>
        <w:tabs>
          <w:tab w:val="clear" w:pos="504"/>
          <w:tab w:val="left" w:pos="0" w:leader="none"/>
        </w:tabs>
        <w:ind w:hanging="0" w:start="0" w:end="0"/>
        <w:rPr>
          <w:rFonts w:ascii="Times New Roman" w:hAnsi="Times New Roman" w:cs="Times New Roman"/>
        </w:rPr>
      </w:pPr>
      <w:r>
        <w:rPr>
          <w:rFonts w:cs="Times New Roman" w:ascii="Times New Roman" w:hAnsi="Times New Roman"/>
          <w:sz w:val="24"/>
        </w:rPr>
        <w:t>This memo will provide highlights of grains and sugar sessions conducted during USDA’s Agricultural Outlook Forum.  An additional memo will summarize sessions on future directions of farm and trade policy and outlook for the livestock sector.</w:t>
      </w:r>
    </w:p>
    <w:p>
      <w:pPr>
        <w:pStyle w:val="CopyList"/>
        <w:tabs>
          <w:tab w:val="clear" w:pos="504"/>
          <w:tab w:val="left" w:pos="0" w:leader="none"/>
        </w:tabs>
        <w:ind w:hanging="0" w:start="0" w:end="0"/>
        <w:rPr>
          <w:rFonts w:ascii="Times New Roman" w:hAnsi="Times New Roman" w:cs="Times New Roman"/>
        </w:rPr>
      </w:pPr>
      <w:r>
        <w:rPr>
          <w:rFonts w:cs="Times New Roman" w:ascii="Times New Roman" w:hAnsi="Times New Roman"/>
        </w:rPr>
      </w:r>
    </w:p>
    <w:p>
      <w:pPr>
        <w:pStyle w:val="Heading1"/>
        <w:ind w:hanging="0" w:start="0"/>
        <w:rPr/>
      </w:pPr>
      <w:r>
        <w:rPr/>
        <w:t>I.</w:t>
        <w:tab/>
        <w:t>GRAINS AND OILSEEDS OUTLOOK</w:t>
      </w:r>
    </w:p>
    <w:p>
      <w:pPr>
        <w:pStyle w:val="Normal"/>
        <w:rPr/>
      </w:pPr>
      <w:r>
        <w:rPr/>
      </w:r>
    </w:p>
    <w:p>
      <w:pPr>
        <w:pStyle w:val="Normal"/>
        <w:rPr/>
      </w:pPr>
      <w:r>
        <w:rPr/>
        <w:t xml:space="preserve">The grains and oilseeds outlook session generally focused on wheat, corn, and soybeans products, although some information on other vegetable oils was also provided.  Speakers for the session included Phil Sronce, economist with the USDA, Richard Feltes, Director of Research at Refco, and Larry Greenhall, Vice-President at Louis Dreyfus.  In addition to the summary comments below, USDA balance sheets for wheat, corn, soybeans, soybean meal, and soybean oil are provided in Table 1.  </w:t>
      </w:r>
    </w:p>
    <w:p>
      <w:pPr>
        <w:pStyle w:val="Normal"/>
        <w:rPr/>
      </w:pPr>
      <w:r>
        <w:rPr/>
      </w:r>
    </w:p>
    <w:p>
      <w:pPr>
        <w:pStyle w:val="Heading1"/>
        <w:ind w:hanging="0" w:start="0"/>
        <w:rPr/>
      </w:pPr>
      <w:r>
        <w:rPr/>
        <w:t>Wheat Outlook Highlights</w:t>
      </w:r>
    </w:p>
    <w:p>
      <w:pPr>
        <w:pStyle w:val="Normal"/>
        <w:rPr/>
      </w:pPr>
      <w:r>
        <w:rPr/>
      </w:r>
    </w:p>
    <w:p>
      <w:pPr>
        <w:pStyle w:val="Normal"/>
        <w:rPr/>
      </w:pPr>
      <w:r>
        <w:rPr>
          <w:rFonts w:eastAsia="Symbol" w:cs="Symbol" w:ascii="Symbol" w:hAnsi="Symbol"/>
        </w:rPr>
        <w:sym w:font="Symbol" w:char="f0b7"/>
      </w:r>
      <w:r>
        <w:rPr/>
        <w:t xml:space="preserve">  </w:t>
      </w:r>
      <w:r>
        <w:rPr>
          <w:b/>
          <w:i/>
        </w:rPr>
        <w:t>Supply</w:t>
      </w:r>
      <w:r>
        <w:rPr/>
        <w:t>:  Based on average wheat yields from 1996 through 2000, the production estimate for wheat in the 2001/02 crop year is 2,125 million bushels, a reduction of roughly 4% from the 2000/01 crop year.  Carryover inventory into the next year is also predicted to drop to 839 million bushels for a net reduction in total supply to 3,064 million bushels (~6.2% reduction).</w:t>
      </w:r>
    </w:p>
    <w:p>
      <w:pPr>
        <w:pStyle w:val="Normal"/>
        <w:rPr/>
      </w:pPr>
      <w:r>
        <w:rPr/>
      </w:r>
    </w:p>
    <w:p>
      <w:pPr>
        <w:pStyle w:val="Normal"/>
        <w:rPr/>
      </w:pPr>
      <w:r>
        <w:rPr>
          <w:rFonts w:eastAsia="Symbol" w:cs="Symbol" w:ascii="Symbol" w:hAnsi="Symbol"/>
        </w:rPr>
        <w:sym w:font="Symbol" w:char="f0b7"/>
      </w:r>
      <w:r>
        <w:rPr/>
        <w:t xml:space="preserve">  </w:t>
      </w:r>
      <w:r>
        <w:rPr>
          <w:b/>
          <w:i/>
        </w:rPr>
        <w:t>Demand</w:t>
      </w:r>
      <w:r>
        <w:rPr/>
        <w:t xml:space="preserve">:  While domestic food use is expected to increase in 2001/02 by 14 million bushels, feed usage is projected to drop by 25 million bushels to fuel a net drop in domestic consumption of 11 million bushels (1%).  Exports are also expected to drop in 2001/02 by roughly 75 million bushels and lead to a total demand drop of approximately 86 million bushels (3.5%).  Major contributing factors to the decrease in exports include the recovery of production in the Middle East/North Africa and the reduction of imports into Iran by 2-3 million tons (note that Iran has been the world’s second largest wheat importer the last 2 years).  </w:t>
      </w:r>
    </w:p>
    <w:p>
      <w:pPr>
        <w:pStyle w:val="Normal"/>
        <w:rPr/>
      </w:pPr>
      <w:r>
        <w:rPr/>
      </w:r>
    </w:p>
    <w:p>
      <w:pPr>
        <w:pStyle w:val="Normal"/>
        <w:rPr/>
      </w:pPr>
      <w:r>
        <w:rPr>
          <w:rFonts w:eastAsia="Symbol" w:cs="Symbol" w:ascii="Symbol" w:hAnsi="Symbol"/>
        </w:rPr>
        <w:sym w:font="Symbol" w:char="f0b7"/>
      </w:r>
      <w:r>
        <w:rPr/>
        <w:t xml:space="preserve">  </w:t>
      </w:r>
      <w:r>
        <w:rPr/>
        <w:t xml:space="preserve">China may offer some relief for overall exports demand, but projections for wheat imports vary widely between 3 million and 7 million tons.  Very little information is available with respect to the quantity or quality of China’s wheat stocks—numbers from both public and private sources are considered unreliable.  </w:t>
      </w:r>
    </w:p>
    <w:p>
      <w:pPr>
        <w:pStyle w:val="Normal"/>
        <w:rPr/>
      </w:pPr>
      <w:r>
        <w:rPr/>
      </w:r>
    </w:p>
    <w:p>
      <w:pPr>
        <w:pStyle w:val="Normal"/>
        <w:rPr/>
      </w:pPr>
      <w:r>
        <w:rPr>
          <w:rFonts w:eastAsia="Symbol" w:cs="Symbol" w:ascii="Symbol" w:hAnsi="Symbol"/>
        </w:rPr>
        <w:sym w:font="Symbol" w:char="f0b7"/>
      </w:r>
      <w:r>
        <w:rPr/>
        <w:t xml:space="preserve">  </w:t>
      </w:r>
      <w:r>
        <w:rPr/>
        <w:t xml:space="preserve">Export projections for key wheat competitors vary.  Large supplies will fuel an increase in exports from Australia while weather-related problems may result in a decline in European exports.  Argentina and Canada are expected to maintain exports at a level similar to the previous year.  </w:t>
      </w:r>
    </w:p>
    <w:p>
      <w:pPr>
        <w:pStyle w:val="Normal"/>
        <w:rPr/>
      </w:pPr>
      <w:r>
        <w:rPr/>
      </w:r>
    </w:p>
    <w:p>
      <w:pPr>
        <w:pStyle w:val="Normal"/>
        <w:rPr/>
      </w:pPr>
      <w:r>
        <w:rPr>
          <w:rFonts w:eastAsia="Symbol" w:cs="Symbol" w:ascii="Symbol" w:hAnsi="Symbol"/>
        </w:rPr>
        <w:sym w:font="Symbol" w:char="f0b7"/>
      </w:r>
      <w:r>
        <w:rPr/>
        <w:t xml:space="preserve">  </w:t>
      </w:r>
      <w:r>
        <w:rPr>
          <w:b/>
          <w:i/>
        </w:rPr>
        <w:t>Ending Stocks</w:t>
      </w:r>
      <w:r>
        <w:rPr/>
        <w:t xml:space="preserve">: Reductions in supplies will overtake reductions in demand and result in an ending stocks projection of 721 million bushels (lowest since 1996/97).  As a result, market prices are expected to rise by 7.5% to $2.85/bushel.  Note that lower carryover in conjunction with a market shock (e.g., weather, China) may trigger further upward price movement.  </w:t>
      </w:r>
    </w:p>
    <w:p>
      <w:pPr>
        <w:pStyle w:val="Normal"/>
        <w:rPr/>
      </w:pPr>
      <w:r>
        <w:rPr/>
      </w:r>
    </w:p>
    <w:p>
      <w:pPr>
        <w:pStyle w:val="Normal"/>
        <w:rPr/>
      </w:pPr>
      <w:r>
        <w:rPr>
          <w:rFonts w:eastAsia="Symbol" w:cs="Symbol" w:ascii="Symbol" w:hAnsi="Symbol"/>
        </w:rPr>
        <w:sym w:font="Symbol" w:char="f0b7"/>
      </w:r>
      <w:r>
        <w:rPr/>
        <w:t xml:space="preserve">  </w:t>
      </w:r>
      <w:r>
        <w:rPr/>
        <w:t xml:space="preserve">Refco notes that USDA projections for wheat ending stocks are not always correct.  In five out of the last 6 years, USDA has underestimated wheat ending stocks (with a maximum underestimation of roughly 300 million bushels in crop year 1998/99).  Refco provided a number of other ending stocks estimates for comparative purposes (Refco in-house numbers, Sparks, Fapri, etc.).  On average, these ending stocks estimates were higher than those given by USDA for 2001/02, although all estimates suggested lower ending stocks when compared to the 2000/01 crop year.  </w:t>
      </w:r>
    </w:p>
    <w:p>
      <w:pPr>
        <w:pStyle w:val="Normal"/>
        <w:rPr/>
      </w:pPr>
      <w:r>
        <w:rPr/>
      </w:r>
    </w:p>
    <w:p>
      <w:pPr>
        <w:pStyle w:val="Normal"/>
        <w:rPr/>
      </w:pPr>
      <w:r>
        <w:rPr>
          <w:rFonts w:eastAsia="Symbol" w:cs="Symbol" w:ascii="Symbol" w:hAnsi="Symbol"/>
        </w:rPr>
        <w:sym w:font="Symbol" w:char="f0b7"/>
      </w:r>
      <w:r>
        <w:rPr/>
        <w:t xml:space="preserve">  </w:t>
      </w:r>
      <w:r>
        <w:rPr/>
        <w:t>The current market downtrend is not without precedent.  See comparison below:</w:t>
      </w:r>
    </w:p>
    <w:p>
      <w:pPr>
        <w:pStyle w:val="Normal"/>
        <w:rPr/>
      </w:pPr>
      <w:r>
        <w:rPr/>
        <w:tab/>
      </w:r>
    </w:p>
    <w:p>
      <w:pPr>
        <w:pStyle w:val="Normal"/>
        <w:rPr/>
      </w:pPr>
      <w:r>
        <w:rPr/>
        <w:tab/>
        <w:tab/>
        <w:t xml:space="preserve">Current (3/96 - ?):  </w:t>
        <w:tab/>
        <w:t>60 months</w:t>
      </w:r>
    </w:p>
    <w:p>
      <w:pPr>
        <w:pStyle w:val="Normal"/>
        <w:rPr/>
      </w:pPr>
      <w:r>
        <w:rPr/>
        <w:tab/>
        <w:tab/>
        <w:t xml:space="preserve">Previous (10/80 – 5/88):  </w:t>
        <w:tab/>
        <w:t>90 months</w:t>
      </w:r>
    </w:p>
    <w:p>
      <w:pPr>
        <w:pStyle w:val="Normal"/>
        <w:rPr/>
      </w:pPr>
      <w:r>
        <w:rPr/>
      </w:r>
    </w:p>
    <w:p>
      <w:pPr>
        <w:pStyle w:val="Heading1"/>
        <w:ind w:hanging="0" w:start="0"/>
        <w:rPr/>
      </w:pPr>
      <w:r>
        <w:rPr/>
        <w:t>Corn Outlook Highlights</w:t>
      </w:r>
    </w:p>
    <w:p>
      <w:pPr>
        <w:pStyle w:val="Normal"/>
        <w:rPr/>
      </w:pPr>
      <w:r>
        <w:rPr/>
      </w:r>
    </w:p>
    <w:p>
      <w:pPr>
        <w:pStyle w:val="Normal"/>
        <w:rPr/>
      </w:pPr>
      <w:r>
        <w:rPr>
          <w:rFonts w:eastAsia="Symbol" w:cs="Symbol" w:ascii="Symbol" w:hAnsi="Symbol"/>
        </w:rPr>
        <w:sym w:font="Symbol" w:char="f0b7"/>
      </w:r>
      <w:r>
        <w:rPr/>
        <w:t xml:space="preserve">  </w:t>
      </w:r>
      <w:r>
        <w:rPr>
          <w:b/>
          <w:i/>
        </w:rPr>
        <w:t>Supply</w:t>
      </w:r>
      <w:r>
        <w:rPr/>
        <w:t>:  The production forecast for corn in 2001/02 is 9,675 million bushels with total supplies projected at 11,576 million bushels (1% drop from previous year).  Production may be affected by higher fertilizer (nitrogen) prices and/or shortages—note possible relationship to natural gas prices.</w:t>
      </w:r>
    </w:p>
    <w:p>
      <w:pPr>
        <w:pStyle w:val="Normal"/>
        <w:rPr/>
      </w:pPr>
      <w:r>
        <w:rPr/>
      </w:r>
    </w:p>
    <w:p>
      <w:pPr>
        <w:pStyle w:val="Normal"/>
        <w:rPr/>
      </w:pPr>
      <w:r>
        <w:rPr>
          <w:rFonts w:eastAsia="Symbol" w:cs="Symbol" w:ascii="Symbol" w:hAnsi="Symbol"/>
        </w:rPr>
        <w:sym w:font="Symbol" w:char="f0b7"/>
      </w:r>
      <w:r>
        <w:rPr/>
        <w:t xml:space="preserve">  </w:t>
      </w:r>
      <w:r>
        <w:rPr>
          <w:b/>
          <w:i/>
        </w:rPr>
        <w:t>Demand</w:t>
      </w:r>
      <w:r>
        <w:rPr/>
        <w:t xml:space="preserve">:  Overall demand is expected to increase by 1.4% from 2000/01.  Corn feed and residual use as well as high fructose corn syrup demand are projected to increase in 2001/02.  Corn use for fuel alcohol is projected to increase by 5% in 2001/02.  Note that under the Bioenergy program, 42 companies are on board to increase ethanol output by 246 million gallons.  US exports for corn are projected to increase slightly for 2001/02 while foreign corn exports are expected to decline.   Note that China is expected to reduce corn exports for the second consecutive year, but the degree of reduction is not yet known.  </w:t>
      </w:r>
    </w:p>
    <w:p>
      <w:pPr>
        <w:pStyle w:val="Normal"/>
        <w:rPr/>
      </w:pPr>
      <w:r>
        <w:rPr/>
      </w:r>
    </w:p>
    <w:p>
      <w:pPr>
        <w:pStyle w:val="Normal"/>
        <w:rPr/>
      </w:pPr>
      <w:r>
        <w:rPr>
          <w:rFonts w:eastAsia="Symbol" w:cs="Symbol" w:ascii="Symbol" w:hAnsi="Symbol"/>
        </w:rPr>
        <w:sym w:font="Symbol" w:char="f0b7"/>
      </w:r>
      <w:r>
        <w:rPr/>
        <w:t xml:space="preserve">  </w:t>
      </w:r>
      <w:r>
        <w:rPr>
          <w:b/>
          <w:i/>
        </w:rPr>
        <w:t>Ending Stocks</w:t>
      </w:r>
      <w:r>
        <w:rPr/>
        <w:t xml:space="preserve">:  Ending stocks are forecast at 1,636 million bushels for 2001/02, which represents a 13.5% drop from 2000/01 and would mark the lowest carryout since 1996/97.  Due to the reduction in ending stocks, market prices are expected to rise to $1.95/bushel, up from $1.80/bushel in 2000/01 (farm-level price). </w:t>
      </w:r>
    </w:p>
    <w:p>
      <w:pPr>
        <w:pStyle w:val="Normal"/>
        <w:rPr/>
      </w:pPr>
      <w:r>
        <w:rPr/>
      </w:r>
    </w:p>
    <w:p>
      <w:pPr>
        <w:pStyle w:val="Normal"/>
        <w:rPr/>
      </w:pPr>
      <w:r>
        <w:rPr>
          <w:rFonts w:eastAsia="Symbol" w:cs="Symbol" w:ascii="Symbol" w:hAnsi="Symbol"/>
        </w:rPr>
        <w:sym w:font="Symbol" w:char="f0b7"/>
      </w:r>
      <w:r>
        <w:rPr/>
        <w:t xml:space="preserve">  </w:t>
      </w:r>
      <w:r>
        <w:rPr/>
        <w:t xml:space="preserve">Like wheat, Refco also notes that USDA numbers often underestimate ending stocks for corn.  In four out of the last five years, the outlook forum ending stocks estimates have been less than actual ending stocks.  </w:t>
      </w:r>
    </w:p>
    <w:p>
      <w:pPr>
        <w:pStyle w:val="Normal"/>
        <w:rPr/>
      </w:pPr>
      <w:r>
        <w:rPr/>
      </w:r>
    </w:p>
    <w:p>
      <w:pPr>
        <w:pStyle w:val="Normal"/>
        <w:rPr/>
      </w:pPr>
      <w:r>
        <w:rPr>
          <w:rFonts w:eastAsia="Symbol" w:cs="Symbol" w:ascii="Symbol" w:hAnsi="Symbol"/>
        </w:rPr>
        <w:sym w:font="Symbol" w:char="f0b7"/>
      </w:r>
      <w:r>
        <w:rPr/>
        <w:t xml:space="preserve">  </w:t>
      </w:r>
      <w:r>
        <w:rPr/>
        <w:t>As with wheat, downturns have occurred in the past.  See comparison below for extended periods of price weakness:</w:t>
      </w:r>
    </w:p>
    <w:p>
      <w:pPr>
        <w:pStyle w:val="Normal"/>
        <w:rPr/>
      </w:pPr>
      <w:r>
        <w:rPr/>
      </w:r>
    </w:p>
    <w:p>
      <w:pPr>
        <w:pStyle w:val="Normal"/>
        <w:rPr/>
      </w:pPr>
      <w:r>
        <w:rPr/>
        <w:tab/>
        <w:t xml:space="preserve">Current (7/96 - ?): </w:t>
        <w:tab/>
        <w:t>56 months</w:t>
      </w:r>
    </w:p>
    <w:p>
      <w:pPr>
        <w:pStyle w:val="Normal"/>
        <w:rPr/>
      </w:pPr>
      <w:r>
        <w:rPr/>
        <w:tab/>
        <w:t>Previous (7/88 – 11/93):</w:t>
        <w:tab/>
        <w:t>62 months</w:t>
      </w:r>
    </w:p>
    <w:p>
      <w:pPr>
        <w:pStyle w:val="Normal"/>
        <w:rPr/>
      </w:pPr>
      <w:r>
        <w:rPr/>
      </w:r>
    </w:p>
    <w:p>
      <w:pPr>
        <w:pStyle w:val="Heading1"/>
        <w:ind w:hanging="0" w:start="0"/>
        <w:rPr/>
      </w:pPr>
      <w:r>
        <w:rPr/>
        <w:t>Soybean Outlook Highlights</w:t>
      </w:r>
    </w:p>
    <w:p>
      <w:pPr>
        <w:pStyle w:val="Normal"/>
        <w:rPr/>
      </w:pPr>
      <w:r>
        <w:rPr/>
      </w:r>
    </w:p>
    <w:p>
      <w:pPr>
        <w:pStyle w:val="Normal"/>
        <w:rPr/>
      </w:pPr>
      <w:r>
        <w:rPr>
          <w:rFonts w:eastAsia="Symbol" w:cs="Symbol" w:ascii="Symbol" w:hAnsi="Symbol"/>
        </w:rPr>
        <w:sym w:font="Symbol" w:char="f0b7"/>
      </w:r>
      <w:r>
        <w:rPr/>
        <w:t xml:space="preserve">  </w:t>
      </w:r>
      <w:r>
        <w:rPr>
          <w:b/>
          <w:i/>
        </w:rPr>
        <w:t>Supply</w:t>
      </w:r>
      <w:r>
        <w:rPr/>
        <w:t xml:space="preserve">: Total supplies for soybeans are projected at a record 3,293 million bushels, up 7.5% from the crop year 2000/01.  The large increase reflects a nearly 19% jump in beginning stocks carried over from 2000/01 and a lesser increase in production of 6.3%.  </w:t>
      </w:r>
    </w:p>
    <w:p>
      <w:pPr>
        <w:pStyle w:val="Normal"/>
        <w:rPr/>
      </w:pPr>
      <w:r>
        <w:rPr/>
      </w:r>
    </w:p>
    <w:p>
      <w:pPr>
        <w:pStyle w:val="Normal"/>
        <w:rPr/>
      </w:pPr>
      <w:r>
        <w:rPr>
          <w:rFonts w:eastAsia="Symbol" w:cs="Symbol" w:ascii="Symbol" w:hAnsi="Symbol"/>
        </w:rPr>
        <w:sym w:font="Symbol" w:char="f0b7"/>
      </w:r>
      <w:r>
        <w:rPr/>
        <w:t xml:space="preserve">  </w:t>
      </w:r>
      <w:r>
        <w:rPr>
          <w:b/>
          <w:i/>
        </w:rPr>
        <w:t>Demand</w:t>
      </w:r>
      <w:r>
        <w:rPr/>
        <w:t>:  Total soybean demand is forecast to be 2,818 million bushels in 2001/02, which represents an increase of 3.7% from 2000/01.  Domestic meal use is expected to increase as is the use of soybean oil.  Note that non-food uses of soybeans will likely grow (e.g., greater use of vegetable oil, expansion of biodiesel use under Bioenergy program).  Foreign use of protein meal is projected to increase by 3% in 2001/02, although use should slow due to competing meals in other countries.  Overall, US soybean meal exports are projected to increase by 4% in the coming year.  Low soybean oil prices are expected to generate a 3% growth in the world soybean oil trade.  Yet, global inventories will likely remain at near record levels for 2001/02 and thus keep soybean oil prices near 30 year lows through the early part of the coming crop year.  Note that China typically imports soybeans over the other products.</w:t>
      </w:r>
    </w:p>
    <w:p>
      <w:pPr>
        <w:pStyle w:val="Normal"/>
        <w:rPr/>
      </w:pPr>
      <w:r>
        <w:rPr/>
      </w:r>
    </w:p>
    <w:p>
      <w:pPr>
        <w:pStyle w:val="Normal"/>
        <w:rPr/>
      </w:pPr>
      <w:r>
        <w:rPr>
          <w:rFonts w:eastAsia="Symbol" w:cs="Symbol" w:ascii="Symbol" w:hAnsi="Symbol"/>
        </w:rPr>
        <w:sym w:font="Symbol" w:char="f0b7"/>
      </w:r>
      <w:r>
        <w:rPr/>
        <w:t xml:space="preserve">  </w:t>
      </w:r>
      <w:r>
        <w:rPr>
          <w:b/>
          <w:i/>
        </w:rPr>
        <w:t>Ending Stocks</w:t>
      </w:r>
      <w:r>
        <w:rPr/>
        <w:t>: While growth in demand nears record levels, larger growth in supplies will drive up 2001/02 ending stocks by 38% from 2000/01.  The projected soybean carryout is 475 million bushels, the largest since the 1985/86 crop year.  The surplus is expected to exert further downward pressure on soybean prices with a annualized farm-level price of $4.25/bushel.  Soybean meal prices are projected at $170/ton, down from $178/ton in 2000/01, and soybean oil prices are expected to remain at current levels—$0.135/lb.</w:t>
      </w:r>
    </w:p>
    <w:p>
      <w:pPr>
        <w:pStyle w:val="Normal"/>
        <w:rPr/>
      </w:pPr>
      <w:r>
        <w:rPr/>
      </w:r>
    </w:p>
    <w:p>
      <w:pPr>
        <w:pStyle w:val="Normal"/>
        <w:rPr/>
      </w:pPr>
      <w:r>
        <w:rPr>
          <w:rFonts w:eastAsia="Symbol" w:cs="Symbol" w:ascii="Symbol" w:hAnsi="Symbol"/>
        </w:rPr>
        <w:sym w:font="Symbol" w:char="f0b7"/>
      </w:r>
      <w:r>
        <w:rPr/>
        <w:t xml:space="preserve">  </w:t>
      </w:r>
      <w:r>
        <w:rPr/>
        <w:t>Previous downtrends have also been observed for soybeans.  See comparison below for extended periods of price weakness:</w:t>
      </w:r>
    </w:p>
    <w:p>
      <w:pPr>
        <w:pStyle w:val="Normal"/>
        <w:rPr/>
      </w:pPr>
      <w:r>
        <w:rPr/>
      </w:r>
    </w:p>
    <w:p>
      <w:pPr>
        <w:pStyle w:val="Normal"/>
        <w:rPr/>
      </w:pPr>
      <w:r>
        <w:rPr/>
        <w:tab/>
        <w:t>Current (5/97 -  ):</w:t>
        <w:tab/>
        <w:tab/>
        <w:t>42 months</w:t>
      </w:r>
    </w:p>
    <w:p>
      <w:pPr>
        <w:pStyle w:val="Normal"/>
        <w:rPr/>
      </w:pPr>
      <w:r>
        <w:rPr/>
        <w:tab/>
        <w:t>Previous (6/88 – 7/93):</w:t>
        <w:tab/>
        <w:t>60 months</w:t>
      </w:r>
    </w:p>
    <w:p>
      <w:pPr>
        <w:pStyle w:val="Normal"/>
        <w:rPr/>
      </w:pPr>
      <w:r>
        <w:rPr/>
      </w:r>
    </w:p>
    <w:p>
      <w:pPr>
        <w:pStyle w:val="Normal"/>
        <w:rPr/>
      </w:pPr>
      <w:r>
        <w:rPr>
          <w:rFonts w:eastAsia="Symbol" w:cs="Symbol" w:ascii="Symbol" w:hAnsi="Symbol"/>
        </w:rPr>
        <w:sym w:font="Symbol" w:char="f0b7"/>
      </w:r>
      <w:r>
        <w:rPr/>
        <w:t xml:space="preserve">  </w:t>
      </w:r>
      <w:r>
        <w:rPr/>
        <w:t xml:space="preserve">Dreyfus reports that major changes in the oilseed complex include acreage shifts and increased demand.  The high oil prices of 1998 resulted in large expansion in softseed acreage which, in turn, led to oversupply of oils.  Due to oversupply, prices were driven downward to current lows, subsequently pushing acreage into other more profitable crops.  World oil demand is growing at a rapid pace with Indian demand expanding by 7%.  </w:t>
      </w:r>
    </w:p>
    <w:p>
      <w:pPr>
        <w:pStyle w:val="Normal"/>
        <w:rPr/>
      </w:pPr>
      <w:r>
        <w:rPr/>
      </w:r>
    </w:p>
    <w:p>
      <w:pPr>
        <w:pStyle w:val="Normal"/>
        <w:rPr/>
      </w:pPr>
      <w:r>
        <w:rPr>
          <w:rFonts w:eastAsia="Symbol" w:cs="Symbol" w:ascii="Symbol" w:hAnsi="Symbol"/>
        </w:rPr>
        <w:sym w:font="Symbol" w:char="f0b7"/>
      </w:r>
      <w:r>
        <w:rPr/>
        <w:t xml:space="preserve">  </w:t>
      </w:r>
      <w:r>
        <w:rPr/>
        <w:t>Dreyfus expects soybeans to remain under price pressure until an acreage expansion shift occurs or weather problems persist.  However, supply and demand factors in the oils markets may result in upward price movement for soybean oil (see below):</w:t>
      </w:r>
    </w:p>
    <w:p>
      <w:pPr>
        <w:pStyle w:val="Normal"/>
        <w:rPr/>
      </w:pPr>
      <w:r>
        <w:rPr/>
      </w:r>
    </w:p>
    <w:p>
      <w:pPr>
        <w:pStyle w:val="Normal"/>
        <w:rPr/>
      </w:pPr>
      <w:r>
        <w:rPr>
          <w:rFonts w:eastAsia="Symbol" w:cs="Symbol" w:ascii="Symbol" w:hAnsi="Symbol"/>
        </w:rPr>
        <w:sym w:font="Symbol" w:char="f0b7"/>
      </w:r>
      <w:r>
        <w:rPr/>
        <w:t xml:space="preserve">  </w:t>
      </w:r>
      <w:r>
        <w:rPr/>
        <w:t>Dreyfus estimates for oilseeds stocks-to-use trends through 2002/03:</w:t>
      </w:r>
    </w:p>
    <w:p>
      <w:pPr>
        <w:pStyle w:val="Normal"/>
        <w:rPr/>
      </w:pPr>
      <w:r>
        <w:rPr/>
      </w:r>
    </w:p>
    <w:p>
      <w:pPr>
        <w:pStyle w:val="Normal"/>
        <w:rPr/>
      </w:pPr>
      <w:r>
        <w:rPr/>
        <w:tab/>
        <w:tab/>
        <w:tab/>
        <w:tab/>
        <w:tab/>
      </w:r>
      <w:r>
        <w:rPr>
          <w:u w:val="single"/>
        </w:rPr>
        <w:t>2000/01</w:t>
      </w:r>
      <w:r>
        <w:rPr/>
        <w:tab/>
        <w:tab/>
      </w:r>
      <w:r>
        <w:rPr>
          <w:u w:val="single"/>
        </w:rPr>
        <w:t>2002/03</w:t>
      </w:r>
    </w:p>
    <w:p>
      <w:pPr>
        <w:pStyle w:val="Normal"/>
        <w:rPr/>
      </w:pPr>
      <w:r>
        <w:rPr/>
        <w:tab/>
        <w:t xml:space="preserve">Soybeans (US, Arg, Braz): </w:t>
        <w:tab/>
        <w:t>23%</w:t>
        <w:tab/>
        <w:tab/>
        <w:t>23%</w:t>
      </w:r>
    </w:p>
    <w:p>
      <w:pPr>
        <w:pStyle w:val="Normal"/>
        <w:rPr/>
      </w:pPr>
      <w:r>
        <w:rPr/>
        <w:tab/>
        <w:t>Rapeseed (Aus, EEC, Can):</w:t>
        <w:tab/>
        <w:t>12%</w:t>
        <w:tab/>
        <w:tab/>
        <w:t>7%</w:t>
      </w:r>
    </w:p>
    <w:p>
      <w:pPr>
        <w:pStyle w:val="Normal"/>
        <w:rPr/>
      </w:pPr>
      <w:r>
        <w:rPr/>
        <w:tab/>
        <w:t>Sunseed (Arg, Black Sea, EEC):</w:t>
        <w:tab/>
        <w:t>9%</w:t>
        <w:tab/>
        <w:tab/>
        <w:t>9%</w:t>
      </w:r>
    </w:p>
    <w:p>
      <w:pPr>
        <w:pStyle w:val="Normal"/>
        <w:rPr/>
      </w:pPr>
      <w:r>
        <w:rPr/>
      </w:r>
    </w:p>
    <w:p>
      <w:pPr>
        <w:pStyle w:val="Normal"/>
        <w:rPr/>
      </w:pPr>
      <w:r>
        <w:rPr/>
        <w:t>Dreyfus estimates for oils stocks-to-use trends through 2002/03:</w:t>
      </w:r>
    </w:p>
    <w:p>
      <w:pPr>
        <w:pStyle w:val="Normal"/>
        <w:rPr/>
      </w:pPr>
      <w:r>
        <w:rPr/>
      </w:r>
    </w:p>
    <w:p>
      <w:pPr>
        <w:pStyle w:val="Normal"/>
        <w:rPr/>
      </w:pPr>
      <w:r>
        <w:rPr/>
        <w:tab/>
        <w:tab/>
        <w:tab/>
        <w:tab/>
        <w:tab/>
      </w:r>
      <w:r>
        <w:rPr>
          <w:u w:val="single"/>
        </w:rPr>
        <w:t>2000/01</w:t>
      </w:r>
      <w:r>
        <w:rPr/>
        <w:tab/>
        <w:tab/>
      </w:r>
      <w:r>
        <w:rPr>
          <w:u w:val="single"/>
        </w:rPr>
        <w:t>2002/03</w:t>
      </w:r>
    </w:p>
    <w:p>
      <w:pPr>
        <w:pStyle w:val="Normal"/>
        <w:rPr/>
      </w:pPr>
      <w:r>
        <w:rPr/>
        <w:tab/>
        <w:t>Palm oil (Malay, Ind):</w:t>
        <w:tab/>
        <w:tab/>
        <w:t>10%</w:t>
        <w:tab/>
        <w:tab/>
        <w:t>11%</w:t>
      </w:r>
    </w:p>
    <w:p>
      <w:pPr>
        <w:pStyle w:val="Normal"/>
        <w:rPr/>
      </w:pPr>
      <w:r>
        <w:rPr/>
        <w:tab/>
        <w:t>Sunoil (EEC, Arg, US):</w:t>
        <w:tab/>
        <w:tab/>
        <w:t>-1%</w:t>
        <w:tab/>
        <w:tab/>
        <w:t>-53%</w:t>
      </w:r>
    </w:p>
    <w:p>
      <w:pPr>
        <w:pStyle w:val="Normal"/>
        <w:rPr/>
      </w:pPr>
      <w:r>
        <w:rPr/>
        <w:tab/>
        <w:t>Rapeseed oil (Can, EEC):</w:t>
        <w:tab/>
        <w:tab/>
        <w:t>11%</w:t>
        <w:tab/>
        <w:tab/>
        <w:t>-25%</w:t>
      </w:r>
    </w:p>
    <w:p>
      <w:pPr>
        <w:pStyle w:val="Normal"/>
        <w:rPr/>
      </w:pPr>
      <w:r>
        <w:rPr/>
        <w:tab/>
        <w:t>Soybean oil (Arg, Braz, US, EEC):</w:t>
        <w:tab/>
        <w:t>9.4%</w:t>
        <w:tab/>
        <w:tab/>
        <w:t>0.4%</w:t>
      </w:r>
    </w:p>
    <w:p>
      <w:pPr>
        <w:pStyle w:val="Normal"/>
        <w:rPr/>
      </w:pPr>
      <w:r>
        <w:rPr/>
        <w:tab/>
        <w:t>All World Oils:</w:t>
        <w:tab/>
        <w:tab/>
        <w:tab/>
        <w:t>9%</w:t>
        <w:tab/>
        <w:tab/>
        <w:t>-3%</w:t>
      </w:r>
    </w:p>
    <w:p>
      <w:pPr>
        <w:pStyle w:val="Normal"/>
        <w:rPr/>
      </w:pPr>
      <w:r>
        <w:rPr/>
      </w:r>
    </w:p>
    <w:p>
      <w:pPr>
        <w:pStyle w:val="Normal"/>
        <w:rPr/>
      </w:pPr>
      <w:r>
        <w:rPr/>
        <w:t xml:space="preserve">In short, Dreyfus anticipates record low vegetable oil stocks by March 2002 (caused in part by China’s assumed entry into WTO in Jan. 2002) with a correction in prices occurring in the first quarter of 2002, if not sooner.   </w:t>
      </w:r>
    </w:p>
    <w:p>
      <w:pPr>
        <w:pStyle w:val="Normal"/>
        <w:rPr/>
      </w:pPr>
      <w:r>
        <w:rPr/>
      </w:r>
    </w:p>
    <w:p>
      <w:pPr>
        <w:pStyle w:val="Heading1"/>
        <w:ind w:hanging="0" w:start="0"/>
        <w:rPr/>
      </w:pPr>
      <w:r>
        <w:rPr/>
        <w:t>II.</w:t>
        <w:tab/>
        <w:t>SUGARS AND SWEETENERS: FUTURE SUGAR POLICY NEEDS FOR THE DOMESTIC INDUSTRY</w:t>
      </w:r>
    </w:p>
    <w:p>
      <w:pPr>
        <w:pStyle w:val="Normal"/>
        <w:rPr/>
      </w:pPr>
      <w:r>
        <w:rPr/>
      </w:r>
    </w:p>
    <w:p>
      <w:pPr>
        <w:pStyle w:val="Normal"/>
        <w:rPr/>
      </w:pPr>
      <w:r>
        <w:rPr/>
        <w:t xml:space="preserve">The sugars and sweeteners session generally focused on the mounting problems of domestic sugar producers and the need for policy reform.  Speakers for the session included John Love, economist with the USDA World Agricultural Outlook Board, Dean Gravois, President of Dean Gravois Farms, Luis Fernandez, CFO for Florida Crystals, Luther Markwart, Chairman of the American Sugar Alliance, and Thomas McKenna, President of United Sugars.  Note that Richard McKamey of the American Sugarbeet Growers Association cancelled his talk.  The balance sheet for sugar is also provided in Table 1 of the memo.   </w:t>
      </w:r>
    </w:p>
    <w:p>
      <w:pPr>
        <w:pStyle w:val="Normal"/>
        <w:rPr/>
      </w:pPr>
      <w:r>
        <w:rPr/>
        <w:t xml:space="preserve">      </w:t>
      </w:r>
    </w:p>
    <w:p>
      <w:pPr>
        <w:pStyle w:val="Heading1"/>
        <w:ind w:hanging="0" w:start="0"/>
        <w:rPr/>
      </w:pPr>
      <w:r>
        <w:rPr/>
        <w:t>Sugar Outlook Highlights</w:t>
      </w:r>
    </w:p>
    <w:p>
      <w:pPr>
        <w:pStyle w:val="Normal"/>
        <w:rPr/>
      </w:pPr>
      <w:r>
        <w:rPr/>
      </w:r>
    </w:p>
    <w:p>
      <w:pPr>
        <w:pStyle w:val="Normal"/>
        <w:rPr/>
      </w:pPr>
      <w:r>
        <w:rPr>
          <w:rFonts w:eastAsia="Symbol" w:cs="Symbol" w:ascii="Symbol" w:hAnsi="Symbol"/>
        </w:rPr>
        <w:sym w:font="Symbol" w:char="f0b7"/>
      </w:r>
      <w:r>
        <w:rPr/>
        <w:t xml:space="preserve">  </w:t>
      </w:r>
      <w:r>
        <w:rPr>
          <w:b/>
          <w:i/>
        </w:rPr>
        <w:t>Supply</w:t>
      </w:r>
      <w:r>
        <w:rPr/>
        <w:t>: For the 2001/02 crop year, total sugar supplies are expected to increase to 12,752 x 10</w:t>
      </w:r>
      <w:r>
        <w:rPr>
          <w:vertAlign w:val="superscript"/>
        </w:rPr>
        <w:t>3</w:t>
      </w:r>
      <w:r>
        <w:rPr/>
        <w:t xml:space="preserve"> short tons, an increase of 2% from the 2000/01 crop year.  Domestic production is set to jump by 3.8% to 8,862 x 10</w:t>
      </w:r>
      <w:r>
        <w:rPr>
          <w:vertAlign w:val="superscript"/>
        </w:rPr>
        <w:t>3</w:t>
      </w:r>
      <w:r>
        <w:rPr/>
        <w:t xml:space="preserve"> short tons while imports are projected to increase by 7% to 1,863 x 10</w:t>
      </w:r>
      <w:r>
        <w:rPr>
          <w:vertAlign w:val="superscript"/>
        </w:rPr>
        <w:t>3</w:t>
      </w:r>
      <w:r>
        <w:rPr/>
        <w:t xml:space="preserve"> short tons.  Note that the imports increase is based on projected higher imports from Mexico under NAFTA.  </w:t>
      </w:r>
    </w:p>
    <w:p>
      <w:pPr>
        <w:pStyle w:val="Normal"/>
        <w:rPr/>
      </w:pPr>
      <w:r>
        <w:rPr/>
      </w:r>
    </w:p>
    <w:p>
      <w:pPr>
        <w:pStyle w:val="Normal"/>
        <w:rPr/>
      </w:pPr>
      <w:r>
        <w:rPr>
          <w:rFonts w:eastAsia="Symbol" w:cs="Symbol" w:ascii="Symbol" w:hAnsi="Symbol"/>
        </w:rPr>
        <w:sym w:font="Symbol" w:char="f0b7"/>
      </w:r>
      <w:r>
        <w:rPr/>
        <w:t xml:space="preserve">  </w:t>
      </w:r>
      <w:r>
        <w:rPr>
          <w:b/>
          <w:i/>
        </w:rPr>
        <w:t>Demand</w:t>
      </w:r>
      <w:r>
        <w:rPr/>
        <w:t>:  Domestic usage of sugar is expected to increase to 10,520 x 10</w:t>
      </w:r>
      <w:r>
        <w:rPr>
          <w:vertAlign w:val="superscript"/>
        </w:rPr>
        <w:t>3</w:t>
      </w:r>
      <w:r>
        <w:rPr/>
        <w:t xml:space="preserve"> short tons, up from 10,345 x 10</w:t>
      </w:r>
      <w:r>
        <w:rPr>
          <w:vertAlign w:val="superscript"/>
        </w:rPr>
        <w:t>3</w:t>
      </w:r>
      <w:r>
        <w:rPr/>
        <w:t xml:space="preserve"> short tons in 2000/01.  Exports are projected to increase to 150 x 10</w:t>
      </w:r>
      <w:r>
        <w:rPr>
          <w:vertAlign w:val="superscript"/>
        </w:rPr>
        <w:t>3</w:t>
      </w:r>
      <w:r>
        <w:rPr/>
        <w:t xml:space="preserve"> short tons while total use is forecast at 10,670 x 10</w:t>
      </w:r>
      <w:r>
        <w:rPr>
          <w:vertAlign w:val="superscript"/>
        </w:rPr>
        <w:t>3</w:t>
      </w:r>
      <w:r>
        <w:rPr/>
        <w:t xml:space="preserve"> short tons, an increase of roughly 2% from crop year 2000/01.</w:t>
      </w:r>
    </w:p>
    <w:p>
      <w:pPr>
        <w:pStyle w:val="Normal"/>
        <w:rPr/>
      </w:pPr>
      <w:r>
        <w:rPr/>
      </w:r>
    </w:p>
    <w:p>
      <w:pPr>
        <w:pStyle w:val="Normal"/>
        <w:rPr/>
      </w:pPr>
      <w:r>
        <w:rPr>
          <w:rFonts w:eastAsia="Symbol" w:cs="Symbol" w:ascii="Symbol" w:hAnsi="Symbol"/>
        </w:rPr>
        <w:sym w:font="Symbol" w:char="f0b7"/>
      </w:r>
      <w:r>
        <w:rPr/>
        <w:t xml:space="preserve"> </w:t>
      </w:r>
      <w:r>
        <w:rPr>
          <w:b/>
          <w:i/>
        </w:rPr>
        <w:t>Ending Stocks</w:t>
      </w:r>
      <w:r>
        <w:rPr/>
        <w:t xml:space="preserve">: Ending stocks are expected to be slightly greater than carryout for the 2000/01 crop year.   Based on long-term USDA projections through 2010/11, growth in the US sugar supply is expected to be greater than demand growth.  As a result, the ending stocks-to-use ratio is expected to reach a record 44% by the end of the projection period.      </w:t>
      </w:r>
    </w:p>
    <w:p>
      <w:pPr>
        <w:pStyle w:val="Normal"/>
        <w:rPr/>
      </w:pPr>
      <w:r>
        <w:rPr/>
        <w:t xml:space="preserve">    </w:t>
      </w:r>
    </w:p>
    <w:p>
      <w:pPr>
        <w:pStyle w:val="Normal"/>
        <w:rPr/>
      </w:pPr>
      <w:r>
        <w:rPr>
          <w:rFonts w:eastAsia="Symbol" w:cs="Symbol" w:ascii="Symbol" w:hAnsi="Symbol"/>
        </w:rPr>
        <w:sym w:font="Symbol" w:char="f0b7"/>
      </w:r>
      <w:r>
        <w:rPr/>
        <w:t xml:space="preserve"> </w:t>
      </w:r>
      <w:r>
        <w:rPr/>
        <w:t>USDA’s key concerns for the sugar industry in 2001/02 include the possibility of another Payment in Kind (PIK) program, imports from Mexico, and sugar extraction from other imported products.</w:t>
      </w:r>
    </w:p>
    <w:p>
      <w:pPr>
        <w:pStyle w:val="Normal"/>
        <w:rPr/>
      </w:pPr>
      <w:r>
        <w:rPr/>
      </w:r>
    </w:p>
    <w:p>
      <w:pPr>
        <w:pStyle w:val="Normal"/>
        <w:rPr/>
      </w:pPr>
      <w:r>
        <w:rPr>
          <w:rFonts w:eastAsia="Symbol" w:cs="Symbol" w:ascii="Symbol" w:hAnsi="Symbol"/>
        </w:rPr>
        <w:sym w:font="Symbol" w:char="f0b7"/>
      </w:r>
      <w:r>
        <w:rPr/>
        <w:t xml:space="preserve"> </w:t>
      </w:r>
      <w:r>
        <w:rPr/>
        <w:t>Gravois Farms reports that supply and demand in the sugar industry must be in balance.  Louisiana sugar growers have not benefited from planting flexibility programs due to the nature of their soils and climate; in fact, it has actually had a deleterious effect on them by virtue of other farmers moving into the sugar business.  Three sugarcane mills in Louisiana have closed since 1995 and more are threatened due to low prices pressured by imports.  Unlike domestic producers, foreign sugar producers make use of export subsidies, production subsidies, financing subsidies, alcohol subsidies, etc.  As a result, the world price average is about half that of the world cost of production.  Gravois Farms suggests that the domestic sugar industry is prepared to move to litigation to resolve trade issues with foreign sugar producers.</w:t>
      </w:r>
    </w:p>
    <w:p>
      <w:pPr>
        <w:pStyle w:val="Normal"/>
        <w:rPr/>
      </w:pPr>
      <w:r>
        <w:rPr/>
      </w:r>
    </w:p>
    <w:p>
      <w:pPr>
        <w:pStyle w:val="Normal"/>
        <w:rPr/>
      </w:pPr>
      <w:r>
        <w:rPr>
          <w:rFonts w:eastAsia="Symbol" w:cs="Symbol" w:ascii="Symbol" w:hAnsi="Symbol"/>
        </w:rPr>
        <w:sym w:font="Symbol" w:char="f0b7"/>
      </w:r>
      <w:r>
        <w:rPr/>
        <w:t xml:space="preserve"> </w:t>
      </w:r>
      <w:r>
        <w:rPr/>
        <w:t>Florida Crystals (FC) notes that the ability of the USDA to regulate sugar supplies has been undermined by trade agreements (e.g., Uruguay Round, NAFTA).  FC also reports that as much as 500,000 tons of sugar annually are circumventing tariff rate quotas in some way (4-5% of stocks-to-use ratio).  The sugar manufacturer offers a couple of suggestions for the entire domestic industry.  These suggestions include:</w:t>
      </w:r>
    </w:p>
    <w:p>
      <w:pPr>
        <w:pStyle w:val="Normal"/>
        <w:rPr/>
      </w:pPr>
      <w:r>
        <w:rPr/>
      </w:r>
    </w:p>
    <w:p>
      <w:pPr>
        <w:pStyle w:val="Normal"/>
        <w:numPr>
          <w:ilvl w:val="0"/>
          <w:numId w:val="2"/>
        </w:numPr>
        <w:rPr/>
      </w:pPr>
      <w:r>
        <w:rPr/>
        <w:t>Domestic industry sugar supply management coupled with Mexican efforts to control supply as well</w:t>
      </w:r>
    </w:p>
    <w:p>
      <w:pPr>
        <w:pStyle w:val="Normal"/>
        <w:numPr>
          <w:ilvl w:val="0"/>
          <w:numId w:val="2"/>
        </w:numPr>
        <w:rPr/>
      </w:pPr>
      <w:r>
        <w:rPr/>
        <w:t>Protection against and policing of those trying to find loopholes in national trade policy</w:t>
      </w:r>
    </w:p>
    <w:p>
      <w:pPr>
        <w:pStyle w:val="Normal"/>
        <w:numPr>
          <w:ilvl w:val="0"/>
          <w:numId w:val="2"/>
        </w:numPr>
        <w:rPr/>
      </w:pPr>
      <w:r>
        <w:rPr/>
        <w:t>Shutdown of inefficient, government-subsidized sugar plants in Mexico</w:t>
      </w:r>
    </w:p>
    <w:p>
      <w:pPr>
        <w:pStyle w:val="Normal"/>
        <w:rPr/>
      </w:pPr>
      <w:r>
        <w:rPr/>
      </w:r>
    </w:p>
    <w:p>
      <w:pPr>
        <w:pStyle w:val="Normal"/>
        <w:rPr/>
      </w:pPr>
      <w:r>
        <w:rPr>
          <w:rFonts w:eastAsia="Symbol" w:cs="Symbol" w:ascii="Symbol" w:hAnsi="Symbol"/>
        </w:rPr>
        <w:sym w:font="Symbol" w:char="f0b7"/>
      </w:r>
      <w:r>
        <w:rPr/>
        <w:t xml:space="preserve"> </w:t>
      </w:r>
      <w:r>
        <w:rPr/>
        <w:t>The American Sugar Alliance reports that out of 113 producing regions, 73 have production costs greater than the US sweetener industry; that is, the US industry is efficient and competitive.  ASA also notes that energy and fertilizer costs are increasing production costs and that balance between supply and demand must be achieved.  As for high stocks, ASA suggests that Commodity Credit Corp. (CCC) stocks be moved to ethanol production (competition with corn).  Other suggestions offered by ASA include:</w:t>
      </w:r>
    </w:p>
    <w:p>
      <w:pPr>
        <w:pStyle w:val="Normal"/>
        <w:rPr/>
      </w:pPr>
      <w:r>
        <w:rPr/>
        <w:tab/>
      </w:r>
    </w:p>
    <w:p>
      <w:pPr>
        <w:pStyle w:val="Normal"/>
        <w:numPr>
          <w:ilvl w:val="0"/>
          <w:numId w:val="2"/>
        </w:numPr>
        <w:rPr/>
      </w:pPr>
      <w:r>
        <w:rPr/>
        <w:t>Discussions with Mexico to resolve NAFTA trade disputes</w:t>
      </w:r>
    </w:p>
    <w:p>
      <w:pPr>
        <w:pStyle w:val="Normal"/>
        <w:numPr>
          <w:ilvl w:val="0"/>
          <w:numId w:val="2"/>
        </w:numPr>
        <w:rPr/>
      </w:pPr>
      <w:r>
        <w:rPr/>
        <w:t>Domestic producers targeted as main sugar supplier while foreign partners viewed as residual market (note that the US market has finite demand)</w:t>
      </w:r>
    </w:p>
    <w:p>
      <w:pPr>
        <w:pStyle w:val="Normal"/>
        <w:numPr>
          <w:ilvl w:val="0"/>
          <w:numId w:val="2"/>
        </w:numPr>
        <w:rPr/>
      </w:pPr>
      <w:r>
        <w:rPr/>
        <w:t>Tailored national sugar policy to counteract the current “one size fits all” approach to agricultural policy</w:t>
      </w:r>
    </w:p>
    <w:p>
      <w:pPr>
        <w:pStyle w:val="Normal"/>
        <w:rPr/>
      </w:pPr>
      <w:r>
        <w:rPr/>
      </w:r>
    </w:p>
    <w:p>
      <w:pPr>
        <w:pStyle w:val="Normal"/>
        <w:rPr/>
      </w:pPr>
      <w:r>
        <w:rPr/>
        <w:t xml:space="preserve"> </w:t>
      </w:r>
      <w:r>
        <w:rPr>
          <w:rFonts w:eastAsia="Symbol" w:cs="Symbol" w:ascii="Symbol" w:hAnsi="Symbol"/>
        </w:rPr>
        <w:sym w:font="Symbol" w:char="f0b7"/>
      </w:r>
      <w:r>
        <w:rPr/>
        <w:t xml:space="preserve"> </w:t>
      </w:r>
      <w:r>
        <w:rPr/>
        <w:t>United Sugars offers evidence for the lack of effectiveness of US sugar policy.  This evidence includes 1) lowest market price in 20 years 2) industry in “shake out” mode, and 3) lack of facility reinvestment.  Major policy concerns of United Sugars include the illegal entry of foreign sugar into the US (i.e., “stuffed molasses”), Mexican sugar imports, and foreign sugars entering the US market as finished products without tariff.  Finally, United Sugars calls on the government to restore order to the national policy through the following steps:</w:t>
      </w:r>
    </w:p>
    <w:p>
      <w:pPr>
        <w:pStyle w:val="Normal"/>
        <w:rPr/>
      </w:pPr>
      <w:r>
        <w:rPr/>
      </w:r>
    </w:p>
    <w:p>
      <w:pPr>
        <w:pStyle w:val="Normal"/>
        <w:numPr>
          <w:ilvl w:val="0"/>
          <w:numId w:val="2"/>
        </w:numPr>
        <w:rPr/>
      </w:pPr>
      <w:r>
        <w:rPr/>
        <w:t>Correct for overly generous foreign trade agreements</w:t>
      </w:r>
    </w:p>
    <w:p>
      <w:pPr>
        <w:pStyle w:val="Normal"/>
        <w:numPr>
          <w:ilvl w:val="0"/>
          <w:numId w:val="2"/>
        </w:numPr>
        <w:rPr/>
      </w:pPr>
      <w:r>
        <w:rPr/>
        <w:t>Eliminate illegal entry of foreign sugars</w:t>
      </w:r>
    </w:p>
    <w:p>
      <w:pPr>
        <w:pStyle w:val="Normal"/>
        <w:numPr>
          <w:ilvl w:val="0"/>
          <w:numId w:val="2"/>
        </w:numPr>
        <w:rPr/>
      </w:pPr>
      <w:r>
        <w:rPr/>
        <w:t>Appropriate accounting of all foreign sugar including finished products</w:t>
      </w:r>
    </w:p>
    <w:p>
      <w:pPr>
        <w:pStyle w:val="Normal"/>
        <w:numPr>
          <w:ilvl w:val="0"/>
          <w:numId w:val="2"/>
        </w:numPr>
        <w:rPr/>
      </w:pPr>
      <w:r>
        <w:rPr/>
        <w:t>Recognize key issues prior to implementation of policies</w:t>
      </w:r>
    </w:p>
    <w:p>
      <w:pPr>
        <w:pStyle w:val="Normal"/>
        <w:rPr/>
      </w:pPr>
      <w:r>
        <w:rPr/>
      </w:r>
      <w:r>
        <w:br w:type="page"/>
      </w:r>
    </w:p>
    <w:p>
      <w:pPr>
        <w:pStyle w:val="Normal"/>
        <w:rPr>
          <w:b/>
        </w:rPr>
      </w:pPr>
      <w:r>
        <w:rPr>
          <w:b/>
        </w:rPr>
      </w:r>
    </w:p>
    <w:p>
      <w:pPr>
        <w:pStyle w:val="Normal"/>
        <w:rPr>
          <w:b/>
        </w:rPr>
      </w:pPr>
      <w:r>
        <w:rPr>
          <w:b/>
        </w:rPr>
        <w:t>Table 1.  USDA Grains, Oilseeds, and Sugars Balance Sheet.</w:t>
      </w:r>
    </w:p>
    <w:tbl>
      <w:tblPr>
        <w:tblW w:w="8856" w:type="dxa"/>
        <w:jc w:val="start"/>
        <w:tblInd w:w="0" w:type="dxa"/>
        <w:tblLayout w:type="fixed"/>
        <w:tblCellMar>
          <w:top w:w="0" w:type="dxa"/>
          <w:start w:w="108" w:type="dxa"/>
          <w:bottom w:w="0" w:type="dxa"/>
          <w:end w:w="108" w:type="dxa"/>
        </w:tblCellMar>
      </w:tblPr>
      <w:tblGrid>
        <w:gridCol w:w="2718"/>
        <w:gridCol w:w="2070"/>
        <w:gridCol w:w="2070"/>
        <w:gridCol w:w="1998"/>
      </w:tblGrid>
      <w:tr>
        <w:trPr/>
        <w:tc>
          <w:tcPr>
            <w:tcW w:w="2718" w:type="dxa"/>
            <w:tcBorders>
              <w:top w:val="single" w:sz="4" w:space="0" w:color="000000"/>
              <w:start w:val="single" w:sz="4" w:space="0" w:color="000000"/>
              <w:bottom w:val="single" w:sz="4" w:space="0" w:color="000000"/>
              <w:end w:val="single" w:sz="4" w:space="0" w:color="000000"/>
            </w:tcBorders>
          </w:tcPr>
          <w:p>
            <w:pPr>
              <w:pStyle w:val="Normal"/>
              <w:rPr>
                <w:b/>
              </w:rPr>
            </w:pPr>
            <w:r>
              <w:rPr>
                <w:b/>
              </w:rPr>
              <w:t>Commodity</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1999/00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2000/01</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2001/02</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WHEAT</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Beginning Stocks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946</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950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839</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Production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2299</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2223</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2125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Domestic Use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1300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1329</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1318</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Exports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1090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1100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1025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Ending Stocks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950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839</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721</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Farm-level Price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2.48</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2.65</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2.85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CORN</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Beginning Stocks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1787</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1718</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1891</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Production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9431</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9968</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9675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Domestic Use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7578</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7755</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7840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Exports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1937</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2050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2100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Ending Stocks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1718</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1891</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1636</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Farm-level Price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1.82</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1.80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1.95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SOYBEANS</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Beginning Stocks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348</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290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345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Production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2654</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2770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2945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Domestic Use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1743</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1758</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1818</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Exports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973</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960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1000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Ending Stocks (mil.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290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345</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475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Farm-level Price ($/bu)</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4.63</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4.65</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4.25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1"/>
              <w:snapToGrid w:val="false"/>
              <w:ind w:hanging="0" w:start="0"/>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SOYBEAN MEAL</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Beginning Stocks (thou. ton)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330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293</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275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Production (thou. ton )</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37623</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38132</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39235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Domestic Use (thou. ton)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30378</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31200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31900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Exports (thou. ton)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7331</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7000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7400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Ending Stocks (thou. ton)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293</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275</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275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Farm-level Price ($/ton)</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168</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178</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170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SOYBEAN OIL</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Beginning Stocks (mil. lb.)</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1520</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1995</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2290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Production (mil. lb.)</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17824</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17920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18505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Domestic Use (mil. lb.)</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16055</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16400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16800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Exports (mil. lb.)</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1376</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1300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1650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Ending Stocks (mil. lb.)</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1995</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2290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2420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Farm-level Price ($/lb.)</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0.156</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0.135</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0.135</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SUGAR</w:t>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Beginning Stocks (10</w:t>
            </w:r>
            <w:r>
              <w:rPr>
                <w:vertAlign w:val="superscript"/>
              </w:rPr>
              <w:t>3</w:t>
            </w:r>
            <w:r>
              <w:rPr/>
              <w:t xml:space="preserve"> s.tons)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1639</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2219</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2027</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Production (10</w:t>
            </w:r>
            <w:r>
              <w:rPr>
                <w:vertAlign w:val="superscript"/>
              </w:rPr>
              <w:t>3</w:t>
            </w:r>
            <w:r>
              <w:rPr/>
              <w:t xml:space="preserve"> s.tons)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9042</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8538</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8862</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Imports (10</w:t>
            </w:r>
            <w:r>
              <w:rPr>
                <w:vertAlign w:val="superscript"/>
              </w:rPr>
              <w:t>3</w:t>
            </w:r>
            <w:r>
              <w:rPr/>
              <w:t xml:space="preserve"> s.tons)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1636</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1740</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1863</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Domestic Use (10</w:t>
            </w:r>
            <w:r>
              <w:rPr>
                <w:vertAlign w:val="superscript"/>
              </w:rPr>
              <w:t>3</w:t>
            </w:r>
            <w:r>
              <w:rPr/>
              <w:t xml:space="preserve"> s.tons)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10111</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10345</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10520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Exports (10</w:t>
            </w:r>
            <w:r>
              <w:rPr>
                <w:vertAlign w:val="superscript"/>
              </w:rPr>
              <w:t>3</w:t>
            </w:r>
            <w:r>
              <w:rPr/>
              <w:t xml:space="preserve"> s.tons)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124</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125</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150</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CCC Stocks (10</w:t>
            </w:r>
            <w:r>
              <w:rPr>
                <w:vertAlign w:val="superscript"/>
              </w:rPr>
              <w:t>3</w:t>
            </w:r>
            <w:r>
              <w:rPr/>
              <w:t xml:space="preserve"> s.tons)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297</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793</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793</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rPr/>
            </w:pPr>
            <w:r>
              <w:rPr/>
              <w:t>Ending Stocks (10</w:t>
            </w:r>
            <w:r>
              <w:rPr>
                <w:vertAlign w:val="superscript"/>
              </w:rPr>
              <w:t>3</w:t>
            </w:r>
            <w:r>
              <w:rPr/>
              <w:t xml:space="preserve"> s.tons)</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2219</w:t>
            </w:r>
          </w:p>
        </w:tc>
        <w:tc>
          <w:tcPr>
            <w:tcW w:w="2070" w:type="dxa"/>
            <w:tcBorders>
              <w:top w:val="single" w:sz="4" w:space="0" w:color="000000"/>
              <w:start w:val="single" w:sz="4" w:space="0" w:color="000000"/>
              <w:bottom w:val="single" w:sz="4" w:space="0" w:color="000000"/>
              <w:end w:val="single" w:sz="4" w:space="0" w:color="000000"/>
            </w:tcBorders>
          </w:tcPr>
          <w:p>
            <w:pPr>
              <w:pStyle w:val="Normal"/>
              <w:jc w:val="center"/>
              <w:rPr/>
            </w:pPr>
            <w:r>
              <w:rPr/>
              <w:t>2027</w:t>
            </w:r>
          </w:p>
        </w:tc>
        <w:tc>
          <w:tcPr>
            <w:tcW w:w="1998" w:type="dxa"/>
            <w:tcBorders>
              <w:top w:val="single" w:sz="4" w:space="0" w:color="000000"/>
              <w:start w:val="single" w:sz="4" w:space="0" w:color="000000"/>
              <w:bottom w:val="single" w:sz="4" w:space="0" w:color="000000"/>
              <w:end w:val="single" w:sz="4" w:space="0" w:color="000000"/>
            </w:tcBorders>
          </w:tcPr>
          <w:p>
            <w:pPr>
              <w:pStyle w:val="Normal"/>
              <w:jc w:val="center"/>
              <w:rPr/>
            </w:pPr>
            <w:r>
              <w:rPr/>
              <w:t>2082</w:t>
            </w:r>
          </w:p>
        </w:tc>
      </w:tr>
      <w:tr>
        <w:trPr/>
        <w:tc>
          <w:tcPr>
            <w:tcW w:w="27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0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99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r>
    </w:tbl>
    <w:p>
      <w:pPr>
        <w:pStyle w:val="Normal"/>
        <w:rPr/>
      </w:pPr>
      <w:r>
        <w:rPr/>
        <w:t xml:space="preserve">        </w:t>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t xml:space="preserve">  </w:t>
      </w:r>
    </w:p>
    <w:p>
      <w:pPr>
        <w:pStyle w:val="CopyList"/>
        <w:tabs>
          <w:tab w:val="clear" w:pos="504"/>
          <w:tab w:val="left" w:pos="0" w:leader="none"/>
        </w:tabs>
        <w:ind w:hanging="0" w:start="0" w:end="0"/>
        <w:rPr/>
      </w:pPr>
      <w:r>
        <w:rPr/>
      </w:r>
    </w:p>
    <w:p>
      <w:pPr>
        <w:pStyle w:val="CopyList"/>
        <w:rPr/>
      </w:pPr>
      <w:r>
        <w:rPr/>
        <w:t>CC:</w:t>
      </w:r>
    </w:p>
    <w:p>
      <w:pPr>
        <w:pStyle w:val="Normal"/>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7</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8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overflowPunct w:val="false"/>
      <w:autoSpaceDE w:val="false"/>
      <w:textAlignment w:val="baseline"/>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overflowPunct w:val="false"/>
      <w:autoSpaceDE w:val="false"/>
      <w:textAlignment w:val="baseline"/>
    </w:pPr>
    <w:rPr>
      <w:rFonts w:ascii="Arial" w:hAnsi="Arial" w:cs="Arial"/>
      <w:sz w:val="20"/>
      <w:szCs w:val="20"/>
    </w:rPr>
  </w:style>
  <w:style w:type="paragraph" w:styleId="Date">
    <w:name w:val="Date"/>
    <w:basedOn w:val="Normal"/>
    <w:qFormat/>
    <w:pPr>
      <w:overflowPunct w:val="false"/>
      <w:autoSpaceDE w:val="false"/>
      <w:textAlignment w:val="baseline"/>
    </w:pPr>
    <w:rPr>
      <w:rFonts w:ascii="Arial" w:hAnsi="Arial" w:cs="Arial"/>
      <w:sz w:val="20"/>
      <w:szCs w:val="20"/>
    </w:rPr>
  </w:style>
  <w:style w:type="paragraph" w:styleId="To">
    <w:name w:val="To"/>
    <w:basedOn w:val="Normal"/>
    <w:qFormat/>
    <w:pPr>
      <w:overflowPunct w:val="false"/>
      <w:autoSpaceDE w:val="false"/>
      <w:textAlignment w:val="baseline"/>
    </w:pPr>
    <w:rPr>
      <w:rFonts w:ascii="Arial" w:hAnsi="Arial" w:cs="Arial"/>
      <w:sz w:val="20"/>
      <w:szCs w:val="20"/>
    </w:rPr>
  </w:style>
  <w:style w:type="paragraph" w:styleId="From">
    <w:name w:val="From"/>
    <w:basedOn w:val="Normal"/>
    <w:qFormat/>
    <w:pPr>
      <w:overflowPunct w:val="false"/>
      <w:autoSpaceDE w:val="false"/>
      <w:textAlignment w:val="baseline"/>
    </w:pPr>
    <w:rPr>
      <w:rFonts w:ascii="Arial" w:hAnsi="Arial" w:cs="Arial"/>
      <w:sz w:val="20"/>
      <w:szCs w:val="20"/>
    </w:rPr>
  </w:style>
  <w:style w:type="paragraph" w:styleId="Department">
    <w:name w:val="Department"/>
    <w:basedOn w:val="Normal"/>
    <w:qFormat/>
    <w:pPr>
      <w:overflowPunct w:val="false"/>
      <w:autoSpaceDE w:val="false"/>
      <w:textAlignment w:val="baseline"/>
    </w:pPr>
    <w:rPr>
      <w:rFonts w:ascii="Arial" w:hAnsi="Arial"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CopyList">
    <w:name w:val="CopyList"/>
    <w:basedOn w:val="Normal"/>
    <w:qFormat/>
    <w:pPr>
      <w:tabs>
        <w:tab w:val="clear" w:pos="720"/>
        <w:tab w:val="left" w:pos="504" w:leader="none"/>
      </w:tabs>
      <w:overflowPunct w:val="false"/>
      <w:autoSpaceDE w:val="false"/>
      <w:spacing w:before="360" w:after="0"/>
      <w:ind w:hanging="504" w:start="576" w:end="0"/>
      <w:textAlignment w:val="baseline"/>
    </w:pPr>
    <w:rPr>
      <w:rFonts w:ascii="Arial" w:hAnsi="Arial" w:cs="Arial"/>
      <w:sz w:val="20"/>
      <w:szCs w:val="20"/>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Ect_memo</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2001-03-05T13:13:00Z</dcterms:created>
  <dc:creator>marefiev</dc:creator>
  <dc:description/>
  <dc:language>en-CA</dc:language>
  <cp:lastModifiedBy>marefiev</cp:lastModifiedBy>
  <cp:lastPrinted>2001-03-05T09:48:00Z</cp:lastPrinted>
  <dcterms:modified xsi:type="dcterms:W3CDTF">2001-03-05T13:19:00Z</dcterms:modified>
  <cp:revision>1</cp:revision>
  <dc:subject/>
  <dc:title> </dc:title>
</cp:coreProperties>
</file>