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2"/>
        </w:rPr>
      </w:pPr>
      <w:r>
        <w:rPr>
          <w:b/>
          <w:sz w:val="32"/>
        </w:rPr>
        <w:t>Bankruptcy Swap</w:t>
      </w:r>
    </w:p>
    <w:p>
      <w:pPr>
        <w:pStyle w:val="FootnoteText"/>
        <w:jc w:val="center"/>
        <w:rPr>
          <w:b/>
          <w:sz w:val="32"/>
        </w:rPr>
      </w:pPr>
      <w:r>
        <w:rPr>
          <w:b/>
          <w:sz w:val="32"/>
        </w:rPr>
        <w:t xml:space="preserve">Indicative Term Sheet </w:t>
      </w:r>
    </w:p>
    <w:p>
      <w:pPr>
        <w:pStyle w:val="FootnoteText"/>
        <w:jc w:val="center"/>
        <w:rPr/>
      </w:pPr>
      <w:r>
        <w:rPr>
          <w:b/>
          <w:i/>
          <w:sz w:val="32"/>
        </w:rPr>
        <w:t>(</w:t>
      </w:r>
      <w:r>
        <w:rPr>
          <w:b/>
          <w:i/>
          <w:color w:val="FF00FF"/>
          <w:sz w:val="32"/>
        </w:rPr>
        <w:t>Insert Name of U.S. Reference Entity</w:t>
      </w:r>
      <w:r>
        <w:rPr>
          <w:b/>
          <w:i/>
          <w:sz w:val="32"/>
        </w:rPr>
        <w:t>)</w:t>
      </w:r>
    </w:p>
    <w:p>
      <w:pPr>
        <w:pStyle w:val="Normal"/>
        <w:jc w:val="center"/>
        <w:rPr/>
      </w:pPr>
      <w:r>
        <w:rPr>
          <w:b/>
          <w:sz w:val="32"/>
        </w:rPr>
        <w:t>[</w:t>
      </w:r>
      <w:r>
        <w:rPr>
          <w:b/>
          <w:color w:val="FF00FF"/>
          <w:sz w:val="32"/>
        </w:rPr>
        <w:t>Insert Date</w:t>
      </w:r>
      <w:r>
        <w:rPr>
          <w:b/>
          <w:sz w:val="32"/>
        </w:rPr>
        <w:t>]</w:t>
      </w:r>
    </w:p>
    <w:p>
      <w:pPr>
        <w:pStyle w:val="Normal"/>
        <w:rPr>
          <w:b/>
          <w:sz w:val="32"/>
        </w:rPr>
      </w:pPr>
      <w:r>
        <w:rPr>
          <w:b/>
          <w:sz w:val="32"/>
        </w:rPr>
      </w:r>
    </w:p>
    <w:p>
      <w:pPr>
        <w:pStyle w:val="Normal"/>
        <w:rPr/>
      </w:pPr>
      <w:r>
        <w:rPr/>
        <w:t xml:space="preserve">This Indicative Term Sheet </w:t>
      </w:r>
      <w:r>
        <w:rPr>
          <w:b/>
          <w:u w:val="single"/>
        </w:rPr>
        <w:t>does not</w:t>
      </w:r>
      <w:r>
        <w:rPr/>
        <w:t xml:space="preserve"> incorporate or reference the 1999 ISDA Credit Derivatives Definitions and the transaction described below </w:t>
      </w:r>
      <w:r>
        <w:rPr>
          <w:b/>
          <w:u w:val="single"/>
        </w:rPr>
        <w:t xml:space="preserve">shall not </w:t>
      </w:r>
      <w:r>
        <w:rPr/>
        <w:t xml:space="preserve">be governed by, or be subject to the 1999 ISDA Credit Derivatives Definitions.  Capitalized terms used in this Indicative Term Sheet shall bear the meanings set forth in </w:t>
      </w:r>
      <w:r>
        <w:rPr>
          <w:b/>
        </w:rPr>
        <w:t>Annex A</w:t>
      </w:r>
      <w:r>
        <w:rPr/>
        <w:t xml:space="preserve"> attached hereto.</w:t>
      </w:r>
    </w:p>
    <w:p>
      <w:pPr>
        <w:pStyle w:val="FootnoteText"/>
        <w:rPr/>
      </w:pPr>
      <w:r>
        <w:rPr/>
      </w:r>
    </w:p>
    <w:tbl>
      <w:tblPr>
        <w:tblW w:w="9781" w:type="dxa"/>
        <w:jc w:val="start"/>
        <w:tblInd w:w="108" w:type="dxa"/>
        <w:tblLayout w:type="fixed"/>
        <w:tblCellMar>
          <w:top w:w="0" w:type="dxa"/>
          <w:start w:w="108" w:type="dxa"/>
          <w:bottom w:w="0" w:type="dxa"/>
          <w:end w:w="108" w:type="dxa"/>
        </w:tblCellMar>
      </w:tblPr>
      <w:tblGrid>
        <w:gridCol w:w="3402"/>
        <w:gridCol w:w="2126"/>
        <w:gridCol w:w="2269"/>
        <w:gridCol w:w="1984"/>
      </w:tblGrid>
      <w:tr>
        <w:trPr>
          <w:trHeight w:val="279" w:hRule="atLeast"/>
        </w:trPr>
        <w:tc>
          <w:tcPr>
            <w:tcW w:w="3402" w:type="dxa"/>
            <w:tcBorders/>
          </w:tcPr>
          <w:p>
            <w:pPr>
              <w:pStyle w:val="Heading2"/>
              <w:spacing w:before="120" w:after="120"/>
              <w:ind w:hanging="0" w:start="0"/>
              <w:jc w:val="both"/>
              <w:rPr>
                <w:color w:val="000000"/>
                <w:sz w:val="20"/>
              </w:rPr>
            </w:pPr>
            <w:r>
              <w:rPr>
                <w:color w:val="000000"/>
                <w:sz w:val="20"/>
              </w:rPr>
              <w:t>1. General Terms</w:t>
            </w:r>
          </w:p>
        </w:tc>
        <w:tc>
          <w:tcPr>
            <w:tcW w:w="6379" w:type="dxa"/>
            <w:gridSpan w:val="3"/>
            <w:tcBorders/>
          </w:tcPr>
          <w:p>
            <w:pPr>
              <w:pStyle w:val="Normal"/>
              <w:tabs>
                <w:tab w:val="clear" w:pos="720"/>
                <w:tab w:val="left" w:pos="1734" w:leader="none"/>
              </w:tabs>
              <w:snapToGrid w:val="false"/>
              <w:spacing w:before="120" w:after="120"/>
              <w:jc w:val="both"/>
              <w:rPr>
                <w:b/>
                <w:color w:val="000000"/>
                <w:sz w:val="20"/>
                <w:u w:val="single"/>
              </w:rPr>
            </w:pPr>
            <w:r>
              <w:rPr>
                <w:b/>
                <w:color w:val="000000"/>
                <w:sz w:val="20"/>
                <w:u w:val="single"/>
              </w:rPr>
            </w:r>
          </w:p>
        </w:tc>
      </w:tr>
      <w:tr>
        <w:trPr/>
        <w:tc>
          <w:tcPr>
            <w:tcW w:w="3402" w:type="dxa"/>
            <w:tcBorders/>
          </w:tcPr>
          <w:p>
            <w:pPr>
              <w:pStyle w:val="Normal"/>
              <w:spacing w:before="120" w:after="0"/>
              <w:jc w:val="both"/>
              <w:rPr>
                <w:color w:val="000000"/>
              </w:rPr>
            </w:pPr>
            <w:r>
              <w:rPr>
                <w:color w:val="000000"/>
              </w:rPr>
              <w:t>Trade Date:</w:t>
            </w:r>
          </w:p>
        </w:tc>
        <w:tc>
          <w:tcPr>
            <w:tcW w:w="6379" w:type="dxa"/>
            <w:gridSpan w:val="3"/>
            <w:tcBorders/>
          </w:tcPr>
          <w:p>
            <w:pPr>
              <w:pStyle w:val="Normal"/>
              <w:tabs>
                <w:tab w:val="clear" w:pos="720"/>
                <w:tab w:val="left" w:pos="1734" w:leader="none"/>
              </w:tabs>
              <w:spacing w:before="120" w:after="0"/>
              <w:jc w:val="both"/>
              <w:rPr/>
            </w:pPr>
            <w:r>
              <w:rPr>
                <w:color w:val="000000"/>
              </w:rPr>
              <w:t>[</w:t>
            </w:r>
            <w:r>
              <w:rPr>
                <w:color w:val="FF00FF"/>
              </w:rPr>
              <w:t>Insert Date</w:t>
            </w:r>
            <w:r>
              <w:rPr>
                <w:color w:val="000000"/>
              </w:rPr>
              <w:t>]</w:t>
            </w:r>
          </w:p>
        </w:tc>
      </w:tr>
      <w:tr>
        <w:trPr/>
        <w:tc>
          <w:tcPr>
            <w:tcW w:w="3402" w:type="dxa"/>
            <w:tcBorders/>
          </w:tcPr>
          <w:p>
            <w:pPr>
              <w:pStyle w:val="Normal"/>
              <w:spacing w:before="120" w:after="0"/>
              <w:jc w:val="both"/>
              <w:rPr>
                <w:color w:val="000000"/>
              </w:rPr>
            </w:pPr>
            <w:r>
              <w:rPr>
                <w:color w:val="000000"/>
              </w:rPr>
              <w:t>Seller:</w:t>
            </w:r>
          </w:p>
        </w:tc>
        <w:tc>
          <w:tcPr>
            <w:tcW w:w="6379" w:type="dxa"/>
            <w:gridSpan w:val="3"/>
            <w:tcBorders/>
          </w:tcPr>
          <w:p>
            <w:pPr>
              <w:pStyle w:val="Normal"/>
              <w:tabs>
                <w:tab w:val="clear" w:pos="720"/>
                <w:tab w:val="left" w:pos="1734" w:leader="none"/>
              </w:tabs>
              <w:spacing w:before="120" w:after="0"/>
              <w:jc w:val="both"/>
              <w:rPr/>
            </w:pPr>
            <w:r>
              <w:rPr>
                <w:color w:val="000000"/>
              </w:rPr>
              <w:t>[</w:t>
              <w:tab/>
              <w:t>] (“</w:t>
            </w:r>
            <w:r>
              <w:rPr>
                <w:b/>
                <w:color w:val="000000"/>
              </w:rPr>
              <w:t>Enron</w:t>
            </w:r>
            <w:r>
              <w:rPr>
                <w:color w:val="000000"/>
              </w:rPr>
              <w:t>”)</w:t>
            </w:r>
          </w:p>
        </w:tc>
      </w:tr>
      <w:tr>
        <w:trPr/>
        <w:tc>
          <w:tcPr>
            <w:tcW w:w="3402" w:type="dxa"/>
            <w:tcBorders/>
          </w:tcPr>
          <w:p>
            <w:pPr>
              <w:pStyle w:val="Normal"/>
              <w:spacing w:before="120" w:after="0"/>
              <w:jc w:val="both"/>
              <w:rPr>
                <w:color w:val="000000"/>
              </w:rPr>
            </w:pPr>
            <w:r>
              <w:rPr>
                <w:color w:val="000000"/>
              </w:rPr>
              <w:t>Buyer:</w:t>
            </w:r>
          </w:p>
        </w:tc>
        <w:tc>
          <w:tcPr>
            <w:tcW w:w="6379" w:type="dxa"/>
            <w:gridSpan w:val="3"/>
            <w:tcBorders/>
          </w:tcPr>
          <w:p>
            <w:pPr>
              <w:pStyle w:val="Normal"/>
              <w:tabs>
                <w:tab w:val="clear" w:pos="720"/>
                <w:tab w:val="left" w:pos="1734" w:leader="none"/>
              </w:tabs>
              <w:spacing w:before="120" w:after="0"/>
              <w:jc w:val="both"/>
              <w:rPr/>
            </w:pPr>
            <w:r>
              <w:rPr>
                <w:color w:val="000000"/>
              </w:rPr>
              <w:t>[</w:t>
              <w:tab/>
              <w:t>] (“</w:t>
            </w:r>
            <w:r>
              <w:rPr>
                <w:b/>
                <w:color w:val="000000"/>
              </w:rPr>
              <w:t>Counterparty</w:t>
            </w:r>
            <w:r>
              <w:rPr>
                <w:color w:val="000000"/>
              </w:rPr>
              <w:t>”)</w:t>
            </w:r>
          </w:p>
        </w:tc>
      </w:tr>
      <w:tr>
        <w:trPr/>
        <w:tc>
          <w:tcPr>
            <w:tcW w:w="3402" w:type="dxa"/>
            <w:tcBorders/>
          </w:tcPr>
          <w:p>
            <w:pPr>
              <w:pStyle w:val="Normal"/>
              <w:spacing w:before="120" w:after="0"/>
              <w:jc w:val="both"/>
              <w:rPr>
                <w:color w:val="000000"/>
              </w:rPr>
            </w:pPr>
            <w:r>
              <w:rPr>
                <w:color w:val="000000"/>
              </w:rPr>
              <w:t>Reference Entity:</w:t>
            </w:r>
          </w:p>
        </w:tc>
        <w:tc>
          <w:tcPr>
            <w:tcW w:w="6379" w:type="dxa"/>
            <w:gridSpan w:val="3"/>
            <w:tcBorders/>
          </w:tcPr>
          <w:p>
            <w:pPr>
              <w:pStyle w:val="Normal"/>
              <w:tabs>
                <w:tab w:val="clear" w:pos="720"/>
                <w:tab w:val="left" w:pos="1734" w:leader="none"/>
              </w:tabs>
              <w:spacing w:before="120" w:after="0"/>
              <w:jc w:val="both"/>
              <w:rPr>
                <w:color w:val="000000"/>
              </w:rPr>
            </w:pPr>
            <w:r>
              <w:rPr>
                <w:color w:val="000000"/>
              </w:rPr>
              <w:t>[</w:t>
              <w:tab/>
              <w:t>]</w:t>
            </w:r>
          </w:p>
        </w:tc>
      </w:tr>
      <w:tr>
        <w:trPr/>
        <w:tc>
          <w:tcPr>
            <w:tcW w:w="3402" w:type="dxa"/>
            <w:tcBorders/>
          </w:tcPr>
          <w:p>
            <w:pPr>
              <w:pStyle w:val="Normal"/>
              <w:spacing w:before="120" w:after="0"/>
              <w:jc w:val="both"/>
              <w:rPr>
                <w:color w:val="000000"/>
              </w:rPr>
            </w:pPr>
            <w:r>
              <w:rPr>
                <w:color w:val="000000"/>
              </w:rPr>
              <w:t>Credit Protection Notional Amount:</w:t>
            </w:r>
          </w:p>
        </w:tc>
        <w:tc>
          <w:tcPr>
            <w:tcW w:w="6379" w:type="dxa"/>
            <w:gridSpan w:val="3"/>
            <w:tcBorders/>
          </w:tcPr>
          <w:p>
            <w:pPr>
              <w:pStyle w:val="Normal"/>
              <w:tabs>
                <w:tab w:val="clear" w:pos="720"/>
                <w:tab w:val="left" w:pos="1734" w:leader="none"/>
              </w:tabs>
              <w:spacing w:before="120" w:after="0"/>
              <w:jc w:val="both"/>
              <w:rPr>
                <w:color w:val="000000"/>
              </w:rPr>
            </w:pPr>
            <w:r>
              <w:rPr>
                <w:color w:val="000000"/>
              </w:rPr>
              <w:t>[</w:t>
              <w:tab/>
              <w:t>]</w:t>
            </w:r>
          </w:p>
        </w:tc>
      </w:tr>
      <w:tr>
        <w:trPr/>
        <w:tc>
          <w:tcPr>
            <w:tcW w:w="3402" w:type="dxa"/>
            <w:tcBorders/>
          </w:tcPr>
          <w:p>
            <w:pPr>
              <w:pStyle w:val="Normal"/>
              <w:spacing w:before="120" w:after="0"/>
              <w:jc w:val="both"/>
              <w:rPr>
                <w:color w:val="000000"/>
              </w:rPr>
            </w:pPr>
            <w:r>
              <w:rPr>
                <w:color w:val="000000"/>
              </w:rPr>
              <w:t>Credit Protection Term:</w:t>
            </w:r>
          </w:p>
        </w:tc>
        <w:tc>
          <w:tcPr>
            <w:tcW w:w="6379" w:type="dxa"/>
            <w:gridSpan w:val="3"/>
            <w:tcBorders/>
          </w:tcPr>
          <w:p>
            <w:pPr>
              <w:pStyle w:val="Normal"/>
              <w:tabs>
                <w:tab w:val="clear" w:pos="720"/>
                <w:tab w:val="left" w:pos="1734" w:leader="none"/>
              </w:tabs>
              <w:spacing w:before="120" w:after="0"/>
              <w:jc w:val="both"/>
              <w:rPr>
                <w:color w:val="000000"/>
              </w:rPr>
            </w:pPr>
            <w:r>
              <w:rPr>
                <w:color w:val="000000"/>
              </w:rPr>
              <w:t>The period from and including the Effective Date to and including the Protection Termination Date.</w:t>
            </w:r>
          </w:p>
        </w:tc>
      </w:tr>
      <w:tr>
        <w:trPr/>
        <w:tc>
          <w:tcPr>
            <w:tcW w:w="3402" w:type="dxa"/>
            <w:tcBorders/>
          </w:tcPr>
          <w:p>
            <w:pPr>
              <w:pStyle w:val="Normal"/>
              <w:spacing w:before="120" w:after="0"/>
              <w:jc w:val="both"/>
              <w:rPr>
                <w:color w:val="000000"/>
              </w:rPr>
            </w:pPr>
            <w:r>
              <w:rPr>
                <w:color w:val="000000"/>
              </w:rPr>
              <w:t>Effective Date:</w:t>
            </w:r>
          </w:p>
        </w:tc>
        <w:tc>
          <w:tcPr>
            <w:tcW w:w="6379" w:type="dxa"/>
            <w:gridSpan w:val="3"/>
            <w:tcBorders/>
          </w:tcPr>
          <w:p>
            <w:pPr>
              <w:pStyle w:val="Normal"/>
              <w:tabs>
                <w:tab w:val="clear" w:pos="720"/>
                <w:tab w:val="left" w:pos="1734" w:leader="none"/>
              </w:tabs>
              <w:spacing w:before="120" w:after="0"/>
              <w:jc w:val="both"/>
              <w:rPr>
                <w:b/>
                <w:color w:val="000000"/>
              </w:rPr>
            </w:pPr>
            <w:r>
              <w:rPr/>
              <w:t>[</w:t>
            </w:r>
            <w:r>
              <w:rPr>
                <w:color w:val="FF00FF"/>
              </w:rPr>
              <w:t>Insert Date</w:t>
            </w:r>
            <w:r>
              <w:rPr/>
              <w:t>]</w:t>
            </w:r>
          </w:p>
        </w:tc>
      </w:tr>
      <w:tr>
        <w:trPr/>
        <w:tc>
          <w:tcPr>
            <w:tcW w:w="3402" w:type="dxa"/>
            <w:tcBorders/>
          </w:tcPr>
          <w:p>
            <w:pPr>
              <w:pStyle w:val="Normal"/>
              <w:spacing w:before="120" w:after="0"/>
              <w:jc w:val="both"/>
              <w:rPr>
                <w:color w:val="000000"/>
              </w:rPr>
            </w:pPr>
            <w:r>
              <w:rPr>
                <w:color w:val="000000"/>
              </w:rPr>
              <w:t>Protection Termination Date:</w:t>
            </w:r>
          </w:p>
        </w:tc>
        <w:tc>
          <w:tcPr>
            <w:tcW w:w="6379" w:type="dxa"/>
            <w:gridSpan w:val="3"/>
            <w:tcBorders/>
          </w:tcPr>
          <w:p>
            <w:pPr>
              <w:pStyle w:val="Normal"/>
              <w:tabs>
                <w:tab w:val="clear" w:pos="720"/>
                <w:tab w:val="left" w:pos="1734" w:leader="none"/>
              </w:tabs>
              <w:spacing w:before="120" w:after="0"/>
              <w:jc w:val="both"/>
              <w:rPr/>
            </w:pPr>
            <w:r>
              <w:rPr>
                <w:color w:val="000000"/>
              </w:rPr>
              <w:t>[</w:t>
            </w:r>
            <w:r>
              <w:rPr>
                <w:color w:val="FF00FF"/>
              </w:rPr>
              <w:t>Insert Date</w:t>
            </w:r>
            <w:r>
              <w:rPr>
                <w:color w:val="000000"/>
              </w:rPr>
              <w:t>]</w:t>
            </w:r>
          </w:p>
        </w:tc>
      </w:tr>
      <w:tr>
        <w:trPr/>
        <w:tc>
          <w:tcPr>
            <w:tcW w:w="3402" w:type="dxa"/>
            <w:tcBorders/>
          </w:tcPr>
          <w:p>
            <w:pPr>
              <w:pStyle w:val="Normal"/>
              <w:spacing w:before="120" w:after="0"/>
              <w:jc w:val="both"/>
              <w:rPr>
                <w:color w:val="000000"/>
              </w:rPr>
            </w:pPr>
            <w:r>
              <w:rPr>
                <w:color w:val="000000"/>
              </w:rPr>
              <w:t>Termination Date:</w:t>
            </w:r>
          </w:p>
          <w:p>
            <w:pPr>
              <w:pStyle w:val="Normal"/>
              <w:spacing w:before="120" w:after="0"/>
              <w:jc w:val="both"/>
              <w:rPr>
                <w:color w:val="000000"/>
              </w:rPr>
            </w:pPr>
            <w:r>
              <w:rPr>
                <w:color w:val="000000"/>
              </w:rPr>
            </w:r>
          </w:p>
        </w:tc>
        <w:tc>
          <w:tcPr>
            <w:tcW w:w="6379" w:type="dxa"/>
            <w:gridSpan w:val="3"/>
            <w:tcBorders/>
          </w:tcPr>
          <w:p>
            <w:pPr>
              <w:pStyle w:val="Normal"/>
              <w:tabs>
                <w:tab w:val="clear" w:pos="720"/>
                <w:tab w:val="left" w:pos="1734" w:leader="none"/>
              </w:tabs>
              <w:spacing w:before="120" w:after="0"/>
              <w:jc w:val="both"/>
              <w:rPr>
                <w:color w:val="000000"/>
              </w:rPr>
            </w:pPr>
            <w:r>
              <w:rPr>
                <w:color w:val="000000"/>
              </w:rPr>
              <w:t>Protection Termination Date, unless the Credit Protection Payment Conditions are satisfied, in which case the ‘Termination Date’ shall be the Credit Protection Settlement Date.</w:t>
            </w:r>
          </w:p>
          <w:p>
            <w:pPr>
              <w:pStyle w:val="Normal"/>
              <w:tabs>
                <w:tab w:val="clear" w:pos="720"/>
                <w:tab w:val="left" w:pos="1734" w:leader="none"/>
              </w:tabs>
              <w:spacing w:before="120" w:after="0"/>
              <w:jc w:val="both"/>
              <w:rPr>
                <w:color w:val="000000"/>
              </w:rPr>
            </w:pPr>
            <w:r>
              <w:rPr>
                <w:color w:val="000000"/>
              </w:rPr>
              <w:t>Notwithstanding the foregoing the Transaction shall automatically terminate without any further action or notice by either party, and the Seller and Buyer’s rights and obligations under the Transaction shall be deemed fully and finally discharged, upon the occurrence of a Bankruptcy Event prior to the beginning of the Credit Protection Term.  The Transaction shall be deemed terminated as of the date of occurrence of the relevant Bankruptcy Event.</w:t>
            </w:r>
          </w:p>
        </w:tc>
      </w:tr>
      <w:tr>
        <w:trPr/>
        <w:tc>
          <w:tcPr>
            <w:tcW w:w="3402" w:type="dxa"/>
            <w:tcBorders/>
          </w:tcPr>
          <w:p>
            <w:pPr>
              <w:pStyle w:val="Normal"/>
              <w:spacing w:before="120" w:after="0"/>
              <w:jc w:val="both"/>
              <w:rPr>
                <w:b/>
                <w:color w:val="000000"/>
              </w:rPr>
            </w:pPr>
            <w:r>
              <w:rPr>
                <w:b/>
                <w:color w:val="000000"/>
              </w:rPr>
              <w:t>2. Buyer Payments</w:t>
            </w:r>
          </w:p>
        </w:tc>
        <w:tc>
          <w:tcPr>
            <w:tcW w:w="6379" w:type="dxa"/>
            <w:gridSpan w:val="3"/>
            <w:tcBorders/>
          </w:tcPr>
          <w:p>
            <w:pPr>
              <w:pStyle w:val="Normal"/>
              <w:tabs>
                <w:tab w:val="clear" w:pos="720"/>
                <w:tab w:val="left" w:pos="1734" w:leader="none"/>
              </w:tabs>
              <w:snapToGrid w:val="false"/>
              <w:spacing w:before="120" w:after="0"/>
              <w:jc w:val="both"/>
              <w:rPr>
                <w:b/>
                <w:color w:val="000000"/>
              </w:rPr>
            </w:pPr>
            <w:r>
              <w:rPr>
                <w:b/>
                <w:color w:val="000000"/>
              </w:rPr>
            </w:r>
          </w:p>
        </w:tc>
      </w:tr>
      <w:tr>
        <w:trPr/>
        <w:tc>
          <w:tcPr>
            <w:tcW w:w="3402" w:type="dxa"/>
            <w:tcBorders/>
          </w:tcPr>
          <w:p>
            <w:pPr>
              <w:pStyle w:val="Normal"/>
              <w:snapToGrid w:val="false"/>
              <w:spacing w:before="120" w:after="0"/>
              <w:jc w:val="both"/>
              <w:rPr>
                <w:color w:val="000000"/>
              </w:rPr>
            </w:pPr>
            <w:r>
              <w:rPr>
                <w:color w:val="000000"/>
              </w:rPr>
            </w:r>
          </w:p>
        </w:tc>
        <w:tc>
          <w:tcPr>
            <w:tcW w:w="6379" w:type="dxa"/>
            <w:gridSpan w:val="3"/>
            <w:tcBorders/>
          </w:tcPr>
          <w:p>
            <w:pPr>
              <w:pStyle w:val="Normal"/>
              <w:tabs>
                <w:tab w:val="clear" w:pos="720"/>
                <w:tab w:val="left" w:pos="1734" w:leader="none"/>
              </w:tabs>
              <w:spacing w:before="120" w:after="0"/>
              <w:jc w:val="both"/>
              <w:rPr>
                <w:color w:val="000000"/>
              </w:rPr>
            </w:pPr>
            <w:r>
              <w:rPr>
                <w:color w:val="000000"/>
              </w:rPr>
              <w:t>Buyer shall pay Seller a Buyer Amount on each Buyer Payment Date commencing on the first Buyer Payment Date to occur after the Effective Date and ending on the Termination Date.</w:t>
            </w:r>
          </w:p>
        </w:tc>
      </w:tr>
      <w:tr>
        <w:trPr/>
        <w:tc>
          <w:tcPr>
            <w:tcW w:w="3402" w:type="dxa"/>
            <w:tcBorders/>
          </w:tcPr>
          <w:p>
            <w:pPr>
              <w:pStyle w:val="Normal"/>
              <w:spacing w:before="120" w:after="0"/>
              <w:jc w:val="both"/>
              <w:rPr>
                <w:color w:val="000000"/>
              </w:rPr>
            </w:pPr>
            <w:r>
              <w:rPr>
                <w:color w:val="000000"/>
              </w:rPr>
              <w:t>Buyer Amount:</w:t>
            </w:r>
          </w:p>
        </w:tc>
        <w:tc>
          <w:tcPr>
            <w:tcW w:w="6379" w:type="dxa"/>
            <w:gridSpan w:val="3"/>
            <w:tcBorders/>
          </w:tcPr>
          <w:p>
            <w:pPr>
              <w:pStyle w:val="Normal"/>
              <w:tabs>
                <w:tab w:val="clear" w:pos="720"/>
                <w:tab w:val="left" w:pos="1734" w:leader="none"/>
              </w:tabs>
              <w:spacing w:before="120" w:after="0"/>
              <w:jc w:val="both"/>
              <w:rPr>
                <w:color w:val="000000"/>
              </w:rPr>
            </w:pPr>
            <w:r>
              <w:rPr>
                <w:color w:val="000000"/>
              </w:rPr>
              <w:t>An amount calculated by the Calculation Agent in accordance with the following formula:</w:t>
            </w:r>
          </w:p>
        </w:tc>
      </w:tr>
      <w:tr>
        <w:trPr>
          <w:trHeight w:val="211" w:hRule="atLeast"/>
        </w:trPr>
        <w:tc>
          <w:tcPr>
            <w:tcW w:w="3402" w:type="dxa"/>
            <w:tcBorders/>
          </w:tcPr>
          <w:p>
            <w:pPr>
              <w:pStyle w:val="Normal"/>
              <w:snapToGrid w:val="false"/>
              <w:spacing w:before="120" w:after="0"/>
              <w:jc w:val="both"/>
              <w:rPr>
                <w:color w:val="000000"/>
              </w:rPr>
            </w:pPr>
            <w:r>
              <w:rPr>
                <w:color w:val="000000"/>
              </w:rPr>
            </w:r>
          </w:p>
        </w:tc>
        <w:tc>
          <w:tcPr>
            <w:tcW w:w="2126" w:type="dxa"/>
            <w:tcBorders/>
          </w:tcPr>
          <w:p>
            <w:pPr>
              <w:pStyle w:val="Heading3"/>
              <w:spacing w:before="120" w:after="0"/>
              <w:ind w:hanging="0" w:start="0"/>
              <w:rPr>
                <w:color w:val="000000"/>
                <w:sz w:val="20"/>
              </w:rPr>
            </w:pPr>
            <w:r>
              <w:rPr>
                <w:color w:val="000000"/>
                <w:sz w:val="20"/>
              </w:rPr>
              <w:t xml:space="preserve">Credit Protection        x       Notional Amount        </w:t>
            </w:r>
          </w:p>
        </w:tc>
        <w:tc>
          <w:tcPr>
            <w:tcW w:w="2269" w:type="dxa"/>
            <w:tcBorders/>
          </w:tcPr>
          <w:p>
            <w:pPr>
              <w:pStyle w:val="Normal"/>
              <w:spacing w:before="120" w:after="0"/>
              <w:rPr>
                <w:color w:val="000000"/>
              </w:rPr>
            </w:pPr>
            <w:r>
              <w:rPr>
                <w:color w:val="000000"/>
              </w:rPr>
              <w:t>Credit Protection Rate   x</w:t>
            </w:r>
          </w:p>
        </w:tc>
        <w:tc>
          <w:tcPr>
            <w:tcW w:w="1984" w:type="dxa"/>
            <w:tcBorders/>
          </w:tcPr>
          <w:p>
            <w:pPr>
              <w:pStyle w:val="Heading3"/>
              <w:spacing w:before="120" w:after="0"/>
              <w:ind w:hanging="0" w:start="0"/>
              <w:rPr>
                <w:color w:val="000000"/>
                <w:sz w:val="20"/>
              </w:rPr>
            </w:pPr>
            <w:r>
              <w:rPr>
                <w:color w:val="000000"/>
                <w:sz w:val="20"/>
              </w:rPr>
              <w:t>Protection Period Fraction</w:t>
            </w:r>
          </w:p>
        </w:tc>
      </w:tr>
      <w:tr>
        <w:trPr>
          <w:trHeight w:val="211" w:hRule="atLeast"/>
        </w:trPr>
        <w:tc>
          <w:tcPr>
            <w:tcW w:w="3402" w:type="dxa"/>
            <w:tcBorders/>
          </w:tcPr>
          <w:p>
            <w:pPr>
              <w:pStyle w:val="Normal"/>
              <w:keepNext w:val="true"/>
              <w:keepLines/>
              <w:spacing w:before="120" w:after="0"/>
              <w:jc w:val="both"/>
              <w:rPr>
                <w:color w:val="000000"/>
              </w:rPr>
            </w:pPr>
            <w:r>
              <w:rPr>
                <w:color w:val="000000"/>
              </w:rPr>
              <w:t>Credit Protection Rate:</w:t>
            </w:r>
          </w:p>
        </w:tc>
        <w:tc>
          <w:tcPr>
            <w:tcW w:w="6379" w:type="dxa"/>
            <w:gridSpan w:val="3"/>
            <w:tcBorders/>
          </w:tcPr>
          <w:p>
            <w:pPr>
              <w:pStyle w:val="Heading3"/>
              <w:spacing w:before="120" w:after="0"/>
              <w:ind w:hanging="0" w:start="0"/>
              <w:jc w:val="both"/>
              <w:rPr/>
            </w:pPr>
            <w:r>
              <w:rPr>
                <w:color w:val="000000"/>
                <w:sz w:val="20"/>
              </w:rPr>
              <w:t>[</w:t>
            </w:r>
            <w:r>
              <w:rPr>
                <w:color w:val="FF00FF"/>
                <w:sz w:val="20"/>
              </w:rPr>
              <w:t>Insert Rate</w:t>
            </w:r>
            <w:r>
              <w:rPr>
                <w:color w:val="000000"/>
                <w:sz w:val="20"/>
              </w:rPr>
              <w:t>] %</w:t>
            </w:r>
          </w:p>
        </w:tc>
      </w:tr>
      <w:tr>
        <w:trPr>
          <w:trHeight w:val="211" w:hRule="atLeast"/>
        </w:trPr>
        <w:tc>
          <w:tcPr>
            <w:tcW w:w="3402" w:type="dxa"/>
            <w:tcBorders/>
          </w:tcPr>
          <w:p>
            <w:pPr>
              <w:pStyle w:val="Normal"/>
              <w:spacing w:before="120" w:after="0"/>
              <w:jc w:val="both"/>
              <w:rPr>
                <w:color w:val="000000"/>
              </w:rPr>
            </w:pPr>
            <w:r>
              <w:rPr>
                <w:color w:val="000000"/>
              </w:rPr>
              <w:t>Protection Period Fraction:</w:t>
            </w:r>
          </w:p>
        </w:tc>
        <w:tc>
          <w:tcPr>
            <w:tcW w:w="6379" w:type="dxa"/>
            <w:gridSpan w:val="3"/>
            <w:tcBorders/>
          </w:tcPr>
          <w:p>
            <w:pPr>
              <w:pStyle w:val="Normal"/>
              <w:spacing w:before="120" w:after="0"/>
              <w:jc w:val="both"/>
              <w:rPr/>
            </w:pPr>
            <w:r>
              <w:rPr/>
              <w:t>The actual number of days in the Buyer Amount Calculation Period in respect of which payment is being made divided by [</w:t>
            </w:r>
            <w:r>
              <w:rPr>
                <w:color w:val="FF00FF"/>
              </w:rPr>
              <w:t>360</w:t>
            </w:r>
            <w:r>
              <w:rPr/>
              <w:t xml:space="preserve">]. </w:t>
            </w:r>
          </w:p>
        </w:tc>
      </w:tr>
      <w:tr>
        <w:trPr>
          <w:trHeight w:val="211" w:hRule="atLeast"/>
        </w:trPr>
        <w:tc>
          <w:tcPr>
            <w:tcW w:w="3402" w:type="dxa"/>
            <w:tcBorders/>
          </w:tcPr>
          <w:p>
            <w:pPr>
              <w:pStyle w:val="Normal"/>
              <w:spacing w:before="120" w:after="0"/>
              <w:jc w:val="both"/>
              <w:rPr>
                <w:color w:val="000000"/>
              </w:rPr>
            </w:pPr>
            <w:r>
              <w:rPr>
                <w:color w:val="000000"/>
              </w:rPr>
              <w:t>Buyer Amount Calculation Period:</w:t>
            </w:r>
          </w:p>
        </w:tc>
        <w:tc>
          <w:tcPr>
            <w:tcW w:w="6379" w:type="dxa"/>
            <w:gridSpan w:val="3"/>
            <w:tcBorders/>
          </w:tcPr>
          <w:p>
            <w:pPr>
              <w:pStyle w:val="Normal"/>
              <w:spacing w:before="120" w:after="0"/>
              <w:jc w:val="both"/>
              <w:rPr/>
            </w:pPr>
            <w:r>
              <w:rPr/>
              <w:t>The period from and including the immediately preceding Buyer Payment Date to but excluding the Buyer Payment Date in respect of which payment is being made; except that (a) the initial Buyer Amount Calculation Period will commence on and include the Effective Date, and (b) the final Buyer Amount Calculation Period will end on and include the earlier to occur of the Protection Termination Date and the Credit Protection Trigger Date (as hereinafter defined).</w:t>
            </w:r>
          </w:p>
        </w:tc>
      </w:tr>
      <w:tr>
        <w:trPr>
          <w:trHeight w:val="211" w:hRule="atLeast"/>
        </w:trPr>
        <w:tc>
          <w:tcPr>
            <w:tcW w:w="3402" w:type="dxa"/>
            <w:tcBorders/>
          </w:tcPr>
          <w:p>
            <w:pPr>
              <w:pStyle w:val="Normal"/>
              <w:spacing w:before="120" w:after="120"/>
              <w:rPr>
                <w:color w:val="000000"/>
              </w:rPr>
            </w:pPr>
            <w:r>
              <w:rPr>
                <w:color w:val="000000"/>
              </w:rPr>
              <w:t>Buyer Payment Dates:</w:t>
            </w:r>
          </w:p>
        </w:tc>
        <w:tc>
          <w:tcPr>
            <w:tcW w:w="6379" w:type="dxa"/>
            <w:gridSpan w:val="3"/>
            <w:tcBorders/>
          </w:tcPr>
          <w:p>
            <w:pPr>
              <w:pStyle w:val="Normal"/>
              <w:spacing w:before="120" w:after="0"/>
              <w:rPr>
                <w:b/>
              </w:rPr>
            </w:pPr>
            <w:r>
              <w:rPr>
                <w:color w:val="000000"/>
              </w:rPr>
              <w:t>[</w:t>
            </w:r>
            <w:r>
              <w:rPr>
                <w:color w:val="FF00FF"/>
              </w:rPr>
              <w:t>Insert Dates</w:t>
            </w:r>
            <w:r>
              <w:rPr>
                <w:color w:val="000000"/>
              </w:rPr>
              <w:t>] and the Termination Date, subject to adjustment in accordance with the Following Business Day Convention.</w:t>
            </w:r>
          </w:p>
        </w:tc>
      </w:tr>
      <w:tr>
        <w:trPr/>
        <w:tc>
          <w:tcPr>
            <w:tcW w:w="3402" w:type="dxa"/>
            <w:tcBorders/>
          </w:tcPr>
          <w:p>
            <w:pPr>
              <w:pStyle w:val="Normal"/>
              <w:spacing w:before="120" w:after="0"/>
              <w:rPr>
                <w:color w:val="000000"/>
              </w:rPr>
            </w:pPr>
            <w:r>
              <w:rPr>
                <w:b/>
                <w:color w:val="000000"/>
              </w:rPr>
              <w:t>3. Seller Payment</w:t>
            </w:r>
          </w:p>
        </w:tc>
        <w:tc>
          <w:tcPr>
            <w:tcW w:w="6379" w:type="dxa"/>
            <w:gridSpan w:val="3"/>
            <w:tcBorders/>
          </w:tcPr>
          <w:p>
            <w:pPr>
              <w:pStyle w:val="Heading3"/>
              <w:snapToGrid w:val="false"/>
              <w:spacing w:before="120" w:after="0"/>
              <w:ind w:hanging="0" w:start="0"/>
              <w:rPr>
                <w:color w:val="000000"/>
                <w:sz w:val="20"/>
              </w:rPr>
            </w:pPr>
            <w:r>
              <w:rPr>
                <w:color w:val="000000"/>
                <w:sz w:val="20"/>
              </w:rPr>
            </w:r>
          </w:p>
        </w:tc>
      </w:tr>
      <w:tr>
        <w:trPr/>
        <w:tc>
          <w:tcPr>
            <w:tcW w:w="3402" w:type="dxa"/>
            <w:tcBorders/>
          </w:tcPr>
          <w:p>
            <w:pPr>
              <w:pStyle w:val="Normal"/>
              <w:snapToGrid w:val="false"/>
              <w:spacing w:before="120" w:after="0"/>
              <w:rPr>
                <w:color w:val="000000"/>
                <w:sz w:val="20"/>
              </w:rPr>
            </w:pPr>
            <w:r>
              <w:rPr>
                <w:color w:val="000000"/>
                <w:sz w:val="20"/>
              </w:rPr>
            </w:r>
          </w:p>
        </w:tc>
        <w:tc>
          <w:tcPr>
            <w:tcW w:w="6379" w:type="dxa"/>
            <w:gridSpan w:val="3"/>
            <w:tcBorders/>
          </w:tcPr>
          <w:p>
            <w:pPr>
              <w:pStyle w:val="Normal"/>
              <w:spacing w:before="120" w:after="0"/>
              <w:rPr>
                <w:color w:val="000000"/>
              </w:rPr>
            </w:pPr>
            <w:r>
              <w:rPr>
                <w:color w:val="000000"/>
              </w:rPr>
              <w:t>Seller shall, subject to the satisfaction of the Credit Protection Payment Conditions, pay to Buyer the Credit Protection Settlement Amount on the Credit Protection Settlement Date.</w:t>
            </w:r>
          </w:p>
        </w:tc>
      </w:tr>
      <w:tr>
        <w:trPr/>
        <w:tc>
          <w:tcPr>
            <w:tcW w:w="3402" w:type="dxa"/>
            <w:tcBorders/>
          </w:tcPr>
          <w:p>
            <w:pPr>
              <w:pStyle w:val="Normal"/>
              <w:spacing w:before="120" w:after="0"/>
              <w:rPr>
                <w:color w:val="000000"/>
              </w:rPr>
            </w:pPr>
            <w:r>
              <w:rPr>
                <w:color w:val="000000"/>
              </w:rPr>
              <w:t>Credit Protection Settlement Amount:</w:t>
            </w:r>
          </w:p>
          <w:p>
            <w:pPr>
              <w:pStyle w:val="Normal"/>
              <w:spacing w:before="120" w:after="0"/>
              <w:rPr>
                <w:color w:val="000000"/>
              </w:rPr>
            </w:pPr>
            <w:r>
              <w:rPr>
                <w:color w:val="000000"/>
              </w:rPr>
            </w:r>
          </w:p>
        </w:tc>
        <w:tc>
          <w:tcPr>
            <w:tcW w:w="6379" w:type="dxa"/>
            <w:gridSpan w:val="3"/>
            <w:tcBorders/>
          </w:tcPr>
          <w:p>
            <w:pPr>
              <w:pStyle w:val="Normal"/>
              <w:spacing w:before="120" w:after="0"/>
              <w:jc w:val="both"/>
              <w:rPr>
                <w:color w:val="000000"/>
              </w:rPr>
            </w:pPr>
            <w:r>
              <w:rPr>
                <w:color w:val="000000"/>
              </w:rPr>
              <w:t>Credit Protection Notional Amount</w:t>
            </w:r>
          </w:p>
        </w:tc>
      </w:tr>
      <w:tr>
        <w:trPr/>
        <w:tc>
          <w:tcPr>
            <w:tcW w:w="3402" w:type="dxa"/>
            <w:tcBorders/>
          </w:tcPr>
          <w:p>
            <w:pPr>
              <w:pStyle w:val="Normal"/>
              <w:spacing w:before="120" w:after="0"/>
              <w:rPr>
                <w:color w:val="000000"/>
              </w:rPr>
            </w:pPr>
            <w:r>
              <w:rPr>
                <w:color w:val="000000"/>
              </w:rPr>
              <w:t>Credit Protection Settlement Date:</w:t>
            </w:r>
          </w:p>
        </w:tc>
        <w:tc>
          <w:tcPr>
            <w:tcW w:w="6379" w:type="dxa"/>
            <w:gridSpan w:val="3"/>
            <w:tcBorders/>
          </w:tcPr>
          <w:p>
            <w:pPr>
              <w:pStyle w:val="Normal"/>
              <w:spacing w:before="120" w:after="0"/>
              <w:jc w:val="both"/>
              <w:rPr/>
            </w:pPr>
            <w:r>
              <w:rPr/>
              <w:t>[</w:t>
            </w:r>
            <w:r>
              <w:rPr>
                <w:color w:val="FF00FF"/>
              </w:rPr>
              <w:t>5</w:t>
            </w:r>
            <w:r>
              <w:rPr/>
              <w:t>] Business Days</w:t>
            </w:r>
            <w:r>
              <w:rPr>
                <w:color w:val="000000"/>
              </w:rPr>
              <w:t xml:space="preserve"> after the Credit Protection Trigger Date</w:t>
            </w:r>
          </w:p>
        </w:tc>
      </w:tr>
      <w:tr>
        <w:trPr/>
        <w:tc>
          <w:tcPr>
            <w:tcW w:w="3402" w:type="dxa"/>
            <w:tcBorders/>
          </w:tcPr>
          <w:p>
            <w:pPr>
              <w:pStyle w:val="Normal"/>
              <w:spacing w:before="120" w:after="0"/>
              <w:rPr>
                <w:color w:val="000000"/>
              </w:rPr>
            </w:pPr>
            <w:r>
              <w:rPr>
                <w:color w:val="000000"/>
              </w:rPr>
              <w:t>Credit Protection Trigger Date:</w:t>
            </w:r>
          </w:p>
        </w:tc>
        <w:tc>
          <w:tcPr>
            <w:tcW w:w="6379" w:type="dxa"/>
            <w:gridSpan w:val="3"/>
            <w:tcBorders/>
          </w:tcPr>
          <w:p>
            <w:pPr>
              <w:pStyle w:val="Normal"/>
              <w:spacing w:before="120" w:after="0"/>
              <w:rPr>
                <w:color w:val="000000"/>
              </w:rPr>
            </w:pPr>
            <w:r>
              <w:rPr>
                <w:color w:val="000000"/>
              </w:rPr>
              <w:t xml:space="preserve">Date of satisfaction of all Credit Protection Payment Conditions </w:t>
            </w:r>
          </w:p>
        </w:tc>
      </w:tr>
      <w:tr>
        <w:trPr/>
        <w:tc>
          <w:tcPr>
            <w:tcW w:w="3402" w:type="dxa"/>
            <w:tcBorders/>
          </w:tcPr>
          <w:p>
            <w:pPr>
              <w:pStyle w:val="Normal"/>
              <w:spacing w:before="120" w:after="0"/>
              <w:rPr>
                <w:color w:val="000000"/>
              </w:rPr>
            </w:pPr>
            <w:r>
              <w:rPr>
                <w:color w:val="000000"/>
              </w:rPr>
              <w:t>Credit Protection Payment Conditions:</w:t>
            </w:r>
          </w:p>
        </w:tc>
        <w:tc>
          <w:tcPr>
            <w:tcW w:w="6379" w:type="dxa"/>
            <w:gridSpan w:val="3"/>
            <w:tcBorders/>
          </w:tcPr>
          <w:p>
            <w:pPr>
              <w:pStyle w:val="Normal"/>
              <w:spacing w:before="120" w:after="0"/>
              <w:rPr/>
            </w:pPr>
            <w:r>
              <w:rPr>
                <w:color w:val="000000"/>
              </w:rPr>
              <w:t xml:space="preserve">Buyer or Seller delivers a Bankruptcy Event Notice </w:t>
            </w:r>
            <w:r>
              <w:rPr>
                <w:b/>
                <w:color w:val="000000"/>
                <w:u w:val="single"/>
              </w:rPr>
              <w:t>and</w:t>
            </w:r>
            <w:r>
              <w:rPr>
                <w:color w:val="000000"/>
              </w:rPr>
              <w:t xml:space="preserve"> Notice of Publicly Available Information each of which is effective </w:t>
            </w:r>
            <w:r>
              <w:rPr>
                <w:b/>
                <w:color w:val="000000"/>
                <w:u w:val="single"/>
              </w:rPr>
              <w:t>on or before</w:t>
            </w:r>
            <w:r>
              <w:rPr>
                <w:color w:val="000000"/>
              </w:rPr>
              <w:t xml:space="preserve"> the 14</w:t>
            </w:r>
            <w:r>
              <w:rPr>
                <w:color w:val="000000"/>
                <w:vertAlign w:val="superscript"/>
              </w:rPr>
              <w:t>th</w:t>
            </w:r>
            <w:r>
              <w:rPr>
                <w:color w:val="000000"/>
              </w:rPr>
              <w:t xml:space="preserve"> calendar day immediately following the Protection Termination Date. </w:t>
            </w:r>
          </w:p>
          <w:p>
            <w:pPr>
              <w:pStyle w:val="Normal"/>
              <w:spacing w:before="120" w:after="0"/>
              <w:jc w:val="both"/>
              <w:rPr>
                <w:color w:val="000000"/>
              </w:rPr>
            </w:pPr>
            <w:r>
              <w:rPr>
                <w:color w:val="000000"/>
              </w:rPr>
              <w:t>All notices delivered hereunder must be delivered on a London Business Day.  Any notice which is delivered on or prior to 4 p.m. London time on a London Business Day will be effective on such day.  A notice delivered on or after 4 p.m. London time will be deemed effective on the next following London Business Day.  Any notice delivered orally, including by telephone, will be effective when actually received by the intended recipient.  If the notice is delivered orally a written confirmation will be executed and delivered confirming the substance of that notice within one Business Day of that notice.  Failure to provide that written confirmation will not affect the effectiveness of that oral notice.  If that that written confirmation is not received within such time, the party obligated to deliver that confirmation will be deemed to have satisfied such obligation at the time that the written confirmation of the oral notice is received.</w:t>
            </w:r>
          </w:p>
        </w:tc>
      </w:tr>
      <w:tr>
        <w:trPr/>
        <w:tc>
          <w:tcPr>
            <w:tcW w:w="3402" w:type="dxa"/>
            <w:tcBorders/>
          </w:tcPr>
          <w:p>
            <w:pPr>
              <w:pStyle w:val="Normal"/>
              <w:spacing w:before="120" w:after="0"/>
              <w:rPr>
                <w:b/>
                <w:color w:val="000000"/>
              </w:rPr>
            </w:pPr>
            <w:r>
              <w:rPr>
                <w:b/>
                <w:color w:val="000000"/>
              </w:rPr>
              <w:t>4. Miscellaneous</w:t>
            </w:r>
          </w:p>
        </w:tc>
        <w:tc>
          <w:tcPr>
            <w:tcW w:w="6379" w:type="dxa"/>
            <w:gridSpan w:val="3"/>
            <w:tcBorders/>
          </w:tcPr>
          <w:p>
            <w:pPr>
              <w:pStyle w:val="Normal"/>
              <w:snapToGrid w:val="false"/>
              <w:spacing w:before="120" w:after="0"/>
              <w:rPr>
                <w:b/>
                <w:color w:val="000000"/>
              </w:rPr>
            </w:pPr>
            <w:r>
              <w:rPr>
                <w:b/>
                <w:color w:val="000000"/>
              </w:rPr>
            </w:r>
          </w:p>
        </w:tc>
      </w:tr>
      <w:tr>
        <w:trPr/>
        <w:tc>
          <w:tcPr>
            <w:tcW w:w="3402" w:type="dxa"/>
            <w:tcBorders/>
          </w:tcPr>
          <w:p>
            <w:pPr>
              <w:pStyle w:val="Normal"/>
              <w:snapToGrid w:val="false"/>
              <w:spacing w:before="120" w:after="0"/>
              <w:rPr>
                <w:color w:val="000000"/>
              </w:rPr>
            </w:pPr>
            <w:r>
              <w:rPr>
                <w:color w:val="000000"/>
              </w:rPr>
            </w:r>
          </w:p>
        </w:tc>
        <w:tc>
          <w:tcPr>
            <w:tcW w:w="6379" w:type="dxa"/>
            <w:gridSpan w:val="3"/>
            <w:tcBorders/>
          </w:tcPr>
          <w:p>
            <w:pPr>
              <w:pStyle w:val="Normal"/>
              <w:snapToGrid w:val="false"/>
              <w:spacing w:before="120" w:after="0"/>
              <w:rPr>
                <w:color w:val="000000"/>
              </w:rPr>
            </w:pPr>
            <w:r>
              <w:rPr>
                <w:color w:val="000000"/>
              </w:rPr>
            </w:r>
          </w:p>
        </w:tc>
      </w:tr>
      <w:tr>
        <w:trPr/>
        <w:tc>
          <w:tcPr>
            <w:tcW w:w="3402" w:type="dxa"/>
            <w:tcBorders/>
          </w:tcPr>
          <w:p>
            <w:pPr>
              <w:pStyle w:val="Normal"/>
              <w:spacing w:before="120" w:after="0"/>
              <w:rPr>
                <w:color w:val="000000"/>
              </w:rPr>
            </w:pPr>
            <w:r>
              <w:rPr>
                <w:color w:val="000000"/>
              </w:rPr>
              <w:t>Calculation Agent</w:t>
            </w:r>
          </w:p>
        </w:tc>
        <w:tc>
          <w:tcPr>
            <w:tcW w:w="6379" w:type="dxa"/>
            <w:gridSpan w:val="3"/>
            <w:tcBorders/>
          </w:tcPr>
          <w:p>
            <w:pPr>
              <w:pStyle w:val="Normal"/>
              <w:spacing w:before="120" w:after="0"/>
              <w:jc w:val="both"/>
              <w:rPr>
                <w:color w:val="000000"/>
              </w:rPr>
            </w:pPr>
            <w:r>
              <w:rPr>
                <w:color w:val="000000"/>
              </w:rPr>
              <w:t>Enron</w:t>
            </w:r>
          </w:p>
        </w:tc>
      </w:tr>
      <w:tr>
        <w:trPr/>
        <w:tc>
          <w:tcPr>
            <w:tcW w:w="3402" w:type="dxa"/>
            <w:tcBorders/>
          </w:tcPr>
          <w:p>
            <w:pPr>
              <w:pStyle w:val="Normal"/>
              <w:spacing w:before="120" w:after="0"/>
              <w:rPr>
                <w:color w:val="000000"/>
              </w:rPr>
            </w:pPr>
            <w:r>
              <w:rPr>
                <w:color w:val="000000"/>
              </w:rPr>
              <w:t>Documentation:</w:t>
            </w:r>
          </w:p>
        </w:tc>
        <w:tc>
          <w:tcPr>
            <w:tcW w:w="6379" w:type="dxa"/>
            <w:gridSpan w:val="3"/>
            <w:tcBorders/>
          </w:tcPr>
          <w:p>
            <w:pPr>
              <w:pStyle w:val="Normal"/>
              <w:spacing w:before="120" w:after="0"/>
              <w:jc w:val="both"/>
              <w:rPr>
                <w:color w:val="000000"/>
              </w:rPr>
            </w:pPr>
            <w:r>
              <w:rPr>
                <w:color w:val="000000"/>
              </w:rPr>
              <w:t xml:space="preserve">1992 ISDA Master Agreement. </w:t>
            </w:r>
          </w:p>
          <w:p>
            <w:pPr>
              <w:pStyle w:val="Normal"/>
              <w:spacing w:before="120" w:after="0"/>
              <w:jc w:val="both"/>
              <w:rPr>
                <w:color w:val="000000"/>
              </w:rPr>
            </w:pPr>
            <w:r>
              <w:rPr>
                <w:b/>
                <w:color w:val="000000"/>
              </w:rPr>
              <w:t>Note:</w:t>
            </w:r>
            <w:r>
              <w:rPr>
                <w:color w:val="000000"/>
              </w:rPr>
              <w:t xml:space="preserve"> </w:t>
            </w:r>
            <w:r>
              <w:rPr>
                <w:b/>
                <w:color w:val="000000"/>
              </w:rPr>
              <w:t xml:space="preserve">ISDA’s 1999 Credit Derivatives Definitions will </w:t>
            </w:r>
            <w:r>
              <w:rPr>
                <w:b/>
                <w:color w:val="000000"/>
                <w:u w:val="single"/>
              </w:rPr>
              <w:t>not</w:t>
            </w:r>
            <w:r>
              <w:rPr>
                <w:b/>
                <w:color w:val="000000"/>
              </w:rPr>
              <w:t xml:space="preserve"> apply.</w:t>
            </w:r>
          </w:p>
          <w:p>
            <w:pPr>
              <w:pStyle w:val="Normal"/>
              <w:spacing w:before="120" w:after="0"/>
              <w:rPr>
                <w:color w:val="000000"/>
              </w:rPr>
            </w:pPr>
            <w:r>
              <w:rPr>
                <w:color w:val="000000"/>
              </w:rPr>
            </w:r>
          </w:p>
        </w:tc>
      </w:tr>
      <w:tr>
        <w:trPr/>
        <w:tc>
          <w:tcPr>
            <w:tcW w:w="3402" w:type="dxa"/>
            <w:tcBorders/>
          </w:tcPr>
          <w:p>
            <w:pPr>
              <w:pStyle w:val="Normal"/>
              <w:spacing w:before="120" w:after="0"/>
              <w:rPr>
                <w:color w:val="000000"/>
              </w:rPr>
            </w:pPr>
            <w:r>
              <w:rPr>
                <w:color w:val="000000"/>
              </w:rPr>
              <w:t>Governing Law:</w:t>
            </w:r>
          </w:p>
        </w:tc>
        <w:tc>
          <w:tcPr>
            <w:tcW w:w="6379" w:type="dxa"/>
            <w:gridSpan w:val="3"/>
            <w:tcBorders/>
          </w:tcPr>
          <w:p>
            <w:pPr>
              <w:pStyle w:val="Normal"/>
              <w:spacing w:before="120" w:after="0"/>
              <w:rPr>
                <w:color w:val="000000"/>
              </w:rPr>
            </w:pPr>
            <w:r>
              <w:rPr>
                <w:color w:val="000000"/>
              </w:rPr>
              <w:t>English</w:t>
            </w:r>
          </w:p>
        </w:tc>
      </w:tr>
      <w:tr>
        <w:trPr/>
        <w:tc>
          <w:tcPr>
            <w:tcW w:w="3402" w:type="dxa"/>
            <w:tcBorders/>
          </w:tcPr>
          <w:p>
            <w:pPr>
              <w:pStyle w:val="Normal"/>
              <w:spacing w:before="120" w:after="0"/>
              <w:rPr>
                <w:color w:val="000000"/>
              </w:rPr>
            </w:pPr>
            <w:r>
              <w:rPr>
                <w:color w:val="000000"/>
              </w:rPr>
              <w:t>Business Days:</w:t>
            </w:r>
          </w:p>
        </w:tc>
        <w:tc>
          <w:tcPr>
            <w:tcW w:w="6379" w:type="dxa"/>
            <w:gridSpan w:val="3"/>
            <w:tcBorders/>
          </w:tcPr>
          <w:p>
            <w:pPr>
              <w:pStyle w:val="Normal"/>
              <w:spacing w:before="120" w:after="0"/>
              <w:rPr/>
            </w:pPr>
            <w:r>
              <w:rPr>
                <w:color w:val="000000"/>
              </w:rPr>
              <w:t>For the purposes of Buyer Payments: [</w:t>
            </w:r>
            <w:r>
              <w:rPr>
                <w:color w:val="FF00FF"/>
              </w:rPr>
              <w:t>Currency Centre of Buyer Payment/ Target Settlement Day – in case of Euro</w:t>
            </w:r>
            <w:r>
              <w:rPr>
                <w:color w:val="000000"/>
              </w:rPr>
              <w:t>] and in all other cases, unless specified to the contrary, London and [</w:t>
            </w:r>
            <w:r>
              <w:rPr>
                <w:color w:val="FF00FF"/>
              </w:rPr>
              <w:t>Location of Office of Counterparty</w:t>
            </w:r>
            <w:r>
              <w:rPr>
                <w:color w:val="000000"/>
              </w:rPr>
              <w:t>].</w:t>
            </w:r>
          </w:p>
        </w:tc>
      </w:tr>
      <w:tr>
        <w:trPr/>
        <w:tc>
          <w:tcPr>
            <w:tcW w:w="3402" w:type="dxa"/>
            <w:tcBorders/>
          </w:tcPr>
          <w:p>
            <w:pPr>
              <w:pStyle w:val="Normal"/>
              <w:snapToGrid w:val="false"/>
              <w:spacing w:before="120" w:after="0"/>
              <w:rPr>
                <w:color w:val="000000"/>
              </w:rPr>
            </w:pPr>
            <w:r>
              <w:rPr>
                <w:color w:val="000000"/>
              </w:rPr>
            </w:r>
          </w:p>
        </w:tc>
        <w:tc>
          <w:tcPr>
            <w:tcW w:w="6379" w:type="dxa"/>
            <w:gridSpan w:val="3"/>
            <w:tcBorders/>
          </w:tcPr>
          <w:p>
            <w:pPr>
              <w:pStyle w:val="Normal"/>
              <w:snapToGrid w:val="false"/>
              <w:spacing w:before="120" w:after="0"/>
              <w:rPr>
                <w:color w:val="000000"/>
              </w:rPr>
            </w:pPr>
            <w:r>
              <w:rPr>
                <w:color w:val="000000"/>
              </w:rPr>
            </w:r>
          </w:p>
        </w:tc>
      </w:tr>
      <w:tr>
        <w:trPr/>
        <w:tc>
          <w:tcPr>
            <w:tcW w:w="3402" w:type="dxa"/>
            <w:tcBorders/>
          </w:tcPr>
          <w:p>
            <w:pPr>
              <w:pStyle w:val="Normal"/>
              <w:spacing w:before="120" w:after="0"/>
              <w:rPr>
                <w:b/>
                <w:color w:val="000000"/>
              </w:rPr>
            </w:pPr>
            <w:r>
              <w:rPr>
                <w:b/>
                <w:color w:val="000000"/>
              </w:rPr>
              <w:t>5. Credit Terms</w:t>
            </w:r>
          </w:p>
        </w:tc>
        <w:tc>
          <w:tcPr>
            <w:tcW w:w="6379" w:type="dxa"/>
            <w:gridSpan w:val="3"/>
            <w:tcBorders/>
          </w:tcPr>
          <w:p>
            <w:pPr>
              <w:pStyle w:val="Normal"/>
              <w:spacing w:before="120" w:after="0"/>
              <w:ind w:start="33" w:end="0"/>
              <w:jc w:val="both"/>
              <w:rPr/>
            </w:pPr>
            <w:r>
              <w:rPr/>
              <w:t>To be reviewed on a transaction and counterparty specific basis.</w:t>
            </w:r>
          </w:p>
          <w:p>
            <w:pPr>
              <w:pStyle w:val="Normal"/>
              <w:spacing w:before="120" w:after="0"/>
              <w:ind w:start="33" w:end="0"/>
              <w:jc w:val="both"/>
              <w:rPr/>
            </w:pPr>
            <w:r>
              <w:rPr/>
              <w:t>[Enron shall have the right to require counterparty to provide a letter of credit or guarantee acceptable to Enron]</w:t>
            </w:r>
            <w:r>
              <w:rPr>
                <w:rStyle w:val="FootnoteCharacters"/>
                <w:rStyle w:val="FootnoteReference"/>
              </w:rPr>
              <w:footnoteReference w:id="2"/>
            </w:r>
          </w:p>
        </w:tc>
      </w:tr>
    </w:tbl>
    <w:p>
      <w:pPr>
        <w:pStyle w:val="Normal"/>
        <w:spacing w:before="120" w:after="0"/>
        <w:ind w:hanging="720" w:start="720" w:end="0"/>
        <w:jc w:val="both"/>
        <w:rPr/>
      </w:pPr>
      <w:r>
        <w:rPr/>
        <w:t xml:space="preserve"> </w:t>
      </w:r>
      <w:r>
        <w:br w:type="page"/>
      </w:r>
    </w:p>
    <w:p>
      <w:pPr>
        <w:pStyle w:val="Normal"/>
        <w:rPr>
          <w:b/>
          <w:color w:val="000000"/>
        </w:rPr>
      </w:pPr>
      <w:r>
        <w:rPr>
          <w:b/>
          <w:color w:val="000000"/>
        </w:rPr>
      </w:r>
    </w:p>
    <w:p>
      <w:pPr>
        <w:pStyle w:val="Normal"/>
        <w:spacing w:before="120" w:after="0"/>
        <w:jc w:val="center"/>
        <w:rPr/>
      </w:pPr>
      <w:r>
        <w:rPr/>
        <w:t>Annex A:  Definitions</w:t>
      </w:r>
    </w:p>
    <w:tbl>
      <w:tblPr>
        <w:tblW w:w="9781" w:type="dxa"/>
        <w:jc w:val="start"/>
        <w:tblInd w:w="108" w:type="dxa"/>
        <w:tblLayout w:type="fixed"/>
        <w:tblCellMar>
          <w:top w:w="0" w:type="dxa"/>
          <w:start w:w="108" w:type="dxa"/>
          <w:bottom w:w="0" w:type="dxa"/>
          <w:end w:w="108" w:type="dxa"/>
        </w:tblCellMar>
      </w:tblPr>
      <w:tblGrid>
        <w:gridCol w:w="3402"/>
        <w:gridCol w:w="6379"/>
      </w:tblGrid>
      <w:tr>
        <w:trPr/>
        <w:tc>
          <w:tcPr>
            <w:tcW w:w="3402" w:type="dxa"/>
            <w:tcBorders/>
          </w:tcPr>
          <w:p>
            <w:pPr>
              <w:pStyle w:val="Normal"/>
              <w:snapToGrid w:val="false"/>
              <w:spacing w:before="120" w:after="0"/>
              <w:rPr>
                <w:b/>
                <w:color w:val="000000"/>
              </w:rPr>
            </w:pPr>
            <w:r>
              <w:rPr>
                <w:b/>
                <w:color w:val="000000"/>
              </w:rPr>
            </w:r>
          </w:p>
        </w:tc>
        <w:tc>
          <w:tcPr>
            <w:tcW w:w="6379" w:type="dxa"/>
            <w:tcBorders/>
          </w:tcPr>
          <w:p>
            <w:pPr>
              <w:pStyle w:val="Normal"/>
              <w:snapToGrid w:val="false"/>
              <w:spacing w:before="120" w:after="0"/>
              <w:ind w:start="33" w:end="0"/>
              <w:jc w:val="both"/>
              <w:rPr>
                <w:b/>
                <w:color w:val="000000"/>
              </w:rPr>
            </w:pPr>
            <w:r>
              <w:rPr>
                <w:b/>
                <w:color w:val="000000"/>
              </w:rPr>
            </w:r>
          </w:p>
        </w:tc>
      </w:tr>
      <w:tr>
        <w:trPr/>
        <w:tc>
          <w:tcPr>
            <w:tcW w:w="3402" w:type="dxa"/>
            <w:tcBorders/>
          </w:tcPr>
          <w:p>
            <w:pPr>
              <w:pStyle w:val="Normal"/>
              <w:rPr>
                <w:color w:val="000000"/>
              </w:rPr>
            </w:pPr>
            <w:r>
              <w:rPr>
                <w:b/>
                <w:color w:val="000000"/>
              </w:rPr>
              <w:t>“</w:t>
            </w:r>
            <w:r>
              <w:rPr>
                <w:b/>
                <w:color w:val="000000"/>
              </w:rPr>
              <w:t>Bankruptcy Event”</w:t>
            </w:r>
          </w:p>
        </w:tc>
        <w:tc>
          <w:tcPr>
            <w:tcW w:w="6379" w:type="dxa"/>
            <w:tcBorders/>
          </w:tcPr>
          <w:p>
            <w:pPr>
              <w:pStyle w:val="Normal"/>
              <w:keepLines/>
              <w:numPr>
                <w:ilvl w:val="0"/>
                <w:numId w:val="4"/>
              </w:numPr>
              <w:tabs>
                <w:tab w:val="clear" w:pos="720"/>
                <w:tab w:val="left" w:pos="1026" w:leader="none"/>
              </w:tabs>
              <w:spacing w:before="120" w:after="120"/>
              <w:ind w:hanging="762" w:start="1080" w:end="0"/>
              <w:jc w:val="both"/>
              <w:rPr/>
            </w:pPr>
            <w:r>
              <w:rPr/>
              <w:t xml:space="preserve">the Reference Entity is dissolved (other than pursuant to a consolidation, amalgamation or merger); </w:t>
            </w:r>
          </w:p>
          <w:p>
            <w:pPr>
              <w:pStyle w:val="Normal"/>
              <w:keepLines/>
              <w:numPr>
                <w:ilvl w:val="0"/>
                <w:numId w:val="4"/>
              </w:numPr>
              <w:tabs>
                <w:tab w:val="clear" w:pos="720"/>
                <w:tab w:val="left" w:pos="1026" w:leader="none"/>
              </w:tabs>
              <w:spacing w:before="120" w:after="120"/>
              <w:ind w:hanging="762" w:start="1080" w:end="0"/>
              <w:jc w:val="both"/>
              <w:rPr/>
            </w:pPr>
            <w:r>
              <w:rPr/>
              <w:t xml:space="preserve">the Reference Entity makes a general assignment, arrangement or composition with or for the benefit of its creditors; </w:t>
            </w:r>
          </w:p>
          <w:p>
            <w:pPr>
              <w:pStyle w:val="Normal"/>
              <w:keepLines/>
              <w:numPr>
                <w:ilvl w:val="0"/>
                <w:numId w:val="4"/>
              </w:numPr>
              <w:tabs>
                <w:tab w:val="clear" w:pos="720"/>
                <w:tab w:val="left" w:pos="1026" w:leader="none"/>
              </w:tabs>
              <w:spacing w:before="120" w:after="120"/>
              <w:ind w:hanging="762" w:start="1080" w:end="0"/>
              <w:jc w:val="both"/>
              <w:rPr/>
            </w:pPr>
            <w:r>
              <w:rPr/>
              <w:t>the Reference Entity institutes with respect to itself or has instituted against it a proceeding seeking a judgement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w:t>
            </w:r>
          </w:p>
          <w:p>
            <w:pPr>
              <w:pStyle w:val="Normal"/>
              <w:keepLines/>
              <w:numPr>
                <w:ilvl w:val="0"/>
                <w:numId w:val="5"/>
              </w:numPr>
              <w:spacing w:before="120" w:after="120"/>
              <w:ind w:hanging="360" w:start="1500" w:end="0"/>
              <w:jc w:val="both"/>
              <w:rPr/>
            </w:pPr>
            <w:r>
              <w:rPr/>
              <w:t xml:space="preserve">results in a judgement of insolvency or bankruptcy or the entry of an order for relief or the making of an order for its winding-up or liquidation; or </w:t>
            </w:r>
          </w:p>
          <w:p>
            <w:pPr>
              <w:pStyle w:val="Normal"/>
              <w:keepLines/>
              <w:numPr>
                <w:ilvl w:val="0"/>
                <w:numId w:val="5"/>
              </w:numPr>
              <w:spacing w:before="120" w:after="120"/>
              <w:ind w:hanging="360" w:start="1500" w:end="0"/>
              <w:jc w:val="both"/>
              <w:rPr/>
            </w:pPr>
            <w:r>
              <w:rPr/>
              <w:t xml:space="preserve">is not dismissed, discharged, stayed or restrained, in each case within 60 days of the institution or presentation thereof; </w:t>
            </w:r>
          </w:p>
          <w:p>
            <w:pPr>
              <w:pStyle w:val="Normal"/>
              <w:keepLines/>
              <w:numPr>
                <w:ilvl w:val="0"/>
                <w:numId w:val="2"/>
              </w:numPr>
              <w:tabs>
                <w:tab w:val="clear" w:pos="720"/>
                <w:tab w:val="left" w:pos="1026" w:leader="none"/>
              </w:tabs>
              <w:spacing w:before="120" w:after="120"/>
              <w:ind w:hanging="762" w:start="1080" w:end="0"/>
              <w:jc w:val="both"/>
              <w:rPr/>
            </w:pPr>
            <w:r>
              <w:rPr/>
              <w:t xml:space="preserve">the Reference Entity has a resolution passed for its winding-up, official management or liquidation (other than pursuant to a consolidation, amalgamation or merger); </w:t>
            </w:r>
          </w:p>
          <w:p>
            <w:pPr>
              <w:pStyle w:val="Normal"/>
              <w:keepLines/>
              <w:numPr>
                <w:ilvl w:val="0"/>
                <w:numId w:val="2"/>
              </w:numPr>
              <w:tabs>
                <w:tab w:val="clear" w:pos="720"/>
                <w:tab w:val="left" w:pos="1026" w:leader="none"/>
              </w:tabs>
              <w:spacing w:before="120" w:after="120"/>
              <w:ind w:hanging="762" w:start="1080" w:end="0"/>
              <w:jc w:val="both"/>
              <w:rPr/>
            </w:pPr>
            <w:r>
              <w:rPr/>
              <w:t xml:space="preserve">the Reference Entity seeks or becomes subject to the appointment of an administrator, provisional liquidator, conservator, receiver, trustee, custodian or other similar official for it or for all or substantially all its assets; </w:t>
            </w:r>
          </w:p>
          <w:p>
            <w:pPr>
              <w:pStyle w:val="Normal"/>
              <w:keepLines/>
              <w:numPr>
                <w:ilvl w:val="0"/>
                <w:numId w:val="2"/>
              </w:numPr>
              <w:tabs>
                <w:tab w:val="clear" w:pos="720"/>
                <w:tab w:val="left" w:pos="1026" w:leader="none"/>
              </w:tabs>
              <w:spacing w:before="120" w:after="120"/>
              <w:ind w:hanging="762" w:start="1080" w:end="0"/>
              <w:jc w:val="both"/>
              <w:rPr/>
            </w:pPr>
            <w:r>
              <w:rPr/>
              <w:t xml:space="preserve">the Reference Entity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60 days thereafter; </w:t>
            </w:r>
          </w:p>
          <w:p>
            <w:pPr>
              <w:pStyle w:val="Normal"/>
              <w:keepLines/>
              <w:numPr>
                <w:ilvl w:val="0"/>
                <w:numId w:val="2"/>
              </w:numPr>
              <w:tabs>
                <w:tab w:val="clear" w:pos="720"/>
                <w:tab w:val="left" w:pos="1026" w:leader="none"/>
              </w:tabs>
              <w:spacing w:before="120" w:after="120"/>
              <w:ind w:hanging="762" w:start="1080" w:end="0"/>
              <w:jc w:val="both"/>
              <w:rPr/>
            </w:pPr>
            <w:r>
              <w:rPr/>
              <w:t xml:space="preserve">the Reference Entity causes or is subject to any event with respect to it which, under the applicable laws of any jurisdiction, has an analogous effect to any of the events specified in clauses (i) to (vi) (inclusive); or </w:t>
            </w:r>
          </w:p>
          <w:p>
            <w:pPr>
              <w:pStyle w:val="Normal"/>
              <w:numPr>
                <w:ilvl w:val="0"/>
                <w:numId w:val="2"/>
              </w:numPr>
              <w:tabs>
                <w:tab w:val="clear" w:pos="720"/>
                <w:tab w:val="left" w:pos="1026" w:leader="none"/>
              </w:tabs>
              <w:ind w:hanging="762" w:start="1080" w:end="0"/>
              <w:rPr>
                <w:color w:val="000000"/>
              </w:rPr>
            </w:pPr>
            <w:r>
              <w:rPr/>
              <w:t>the Reference Entity takes any action in furtherance of, or indicating its consent to, approval of, or acquiescence in, any of the foregoing acts.</w:t>
            </w:r>
          </w:p>
          <w:p>
            <w:pPr>
              <w:pStyle w:val="Normal"/>
              <w:rPr>
                <w:color w:val="000000"/>
              </w:rPr>
            </w:pPr>
            <w:r>
              <w:rPr>
                <w:color w:val="000000"/>
              </w:rPr>
            </w:r>
          </w:p>
        </w:tc>
      </w:tr>
      <w:tr>
        <w:trPr/>
        <w:tc>
          <w:tcPr>
            <w:tcW w:w="3402" w:type="dxa"/>
            <w:tcBorders/>
          </w:tcPr>
          <w:p>
            <w:pPr>
              <w:pStyle w:val="Normal"/>
              <w:spacing w:before="120" w:after="0"/>
              <w:rPr>
                <w:color w:val="000000"/>
              </w:rPr>
            </w:pPr>
            <w:r>
              <w:rPr>
                <w:b/>
                <w:color w:val="000000"/>
              </w:rPr>
              <w:t>“</w:t>
            </w:r>
            <w:r>
              <w:rPr>
                <w:b/>
                <w:color w:val="000000"/>
              </w:rPr>
              <w:t>Bankruptcy Event Notice”</w:t>
            </w:r>
          </w:p>
        </w:tc>
        <w:tc>
          <w:tcPr>
            <w:tcW w:w="6379" w:type="dxa"/>
            <w:tcBorders/>
          </w:tcPr>
          <w:p>
            <w:pPr>
              <w:pStyle w:val="Normal"/>
              <w:spacing w:before="120" w:after="0"/>
              <w:ind w:start="33" w:end="0"/>
              <w:jc w:val="both"/>
              <w:rPr>
                <w:color w:val="000000"/>
              </w:rPr>
            </w:pPr>
            <w:r>
              <w:rPr/>
              <w:t>An irrevocable notice from the notifying party (which may be oral, including by telephone) describing in reasonable detail a Bankruptcy Event that occurred on or after the Effective Date and on or before the Protection Termination Date.  For the avoidance of doubt, the Bankruptcy Event that is the subject of the Bankruptcy Event Notice need not be continuing on the date the Bankruptcy Event Notice is effective.</w:t>
            </w:r>
          </w:p>
        </w:tc>
      </w:tr>
      <w:tr>
        <w:trPr/>
        <w:tc>
          <w:tcPr>
            <w:tcW w:w="3402" w:type="dxa"/>
            <w:tcBorders/>
          </w:tcPr>
          <w:p>
            <w:pPr>
              <w:pStyle w:val="Normal"/>
              <w:spacing w:before="120" w:after="0"/>
              <w:rPr>
                <w:color w:val="000000"/>
              </w:rPr>
            </w:pPr>
            <w:r>
              <w:rPr>
                <w:b/>
                <w:color w:val="000000"/>
              </w:rPr>
              <w:t>“</w:t>
            </w:r>
            <w:r>
              <w:rPr>
                <w:b/>
                <w:color w:val="000000"/>
              </w:rPr>
              <w:t>Notice of Publicly Available Information”</w:t>
            </w:r>
          </w:p>
        </w:tc>
        <w:tc>
          <w:tcPr>
            <w:tcW w:w="6379" w:type="dxa"/>
            <w:tcBorders/>
          </w:tcPr>
          <w:p>
            <w:pPr>
              <w:pStyle w:val="Normal"/>
              <w:spacing w:before="120" w:after="0"/>
              <w:jc w:val="both"/>
              <w:rPr>
                <w:color w:val="000000"/>
              </w:rPr>
            </w:pPr>
            <w:r>
              <w:rPr/>
              <w:t>An irrevocable notice from the party delivering the Bankruptcy Event Notice (which may be oral, including by telephone) confirming the occurrence of a Bankruptcy Event described in the Bankruptcy Event Notice with Publicly Available Information.  The notice given must describe in reasonable detail, or attach a copy of, the relevant Publicly Available Information.</w:t>
            </w:r>
          </w:p>
        </w:tc>
      </w:tr>
      <w:tr>
        <w:trPr/>
        <w:tc>
          <w:tcPr>
            <w:tcW w:w="3402" w:type="dxa"/>
            <w:tcBorders/>
          </w:tcPr>
          <w:p>
            <w:pPr>
              <w:pStyle w:val="Normal"/>
              <w:spacing w:before="120" w:after="0"/>
              <w:rPr>
                <w:color w:val="000000"/>
              </w:rPr>
            </w:pPr>
            <w:r>
              <w:rPr>
                <w:b/>
                <w:color w:val="000000"/>
              </w:rPr>
              <w:t>“</w:t>
            </w:r>
            <w:r>
              <w:rPr>
                <w:b/>
                <w:color w:val="000000"/>
              </w:rPr>
              <w:t>Publicly Available Information”</w:t>
            </w:r>
          </w:p>
        </w:tc>
        <w:tc>
          <w:tcPr>
            <w:tcW w:w="6379" w:type="dxa"/>
            <w:tcBorders/>
          </w:tcPr>
          <w:p>
            <w:pPr>
              <w:pStyle w:val="BodyTextIndent"/>
              <w:spacing w:before="120" w:after="0"/>
              <w:rPr/>
            </w:pPr>
            <w:r>
              <w:rPr/>
              <w:t>Information that reasonably confirms the facts relevant to the determination that the Bankruptcy Event described in the Bankruptcy Event Notice has occurred and that,</w:t>
            </w:r>
          </w:p>
          <w:p>
            <w:pPr>
              <w:pStyle w:val="BodyTextIndent"/>
              <w:numPr>
                <w:ilvl w:val="0"/>
                <w:numId w:val="3"/>
              </w:numPr>
              <w:spacing w:before="120" w:after="0"/>
              <w:rPr>
                <w:color w:val="000000"/>
              </w:rPr>
            </w:pPr>
            <w:r>
              <w:rPr/>
              <w:t xml:space="preserve">has been published in not less than two of the following news sources: Bloomberg Service, Dow Jones Telerate Service, Reuter Monitor Money Rates Services, Dow Jones News Wire, Wall Street Journal, New York Times, Financial Times, The Times or the Daily Telegraph; </w:t>
            </w:r>
            <w:r>
              <w:rPr>
                <w:b/>
                <w:i/>
              </w:rPr>
              <w:t>p</w:t>
            </w:r>
            <w:r>
              <w:rPr>
                <w:b/>
                <w:i/>
                <w:color w:val="000000"/>
              </w:rPr>
              <w:t>rovided that</w:t>
            </w:r>
            <w:r>
              <w:rPr>
                <w:b/>
                <w:color w:val="000000"/>
              </w:rPr>
              <w:t>,</w:t>
            </w:r>
            <w:r>
              <w:rPr>
                <w:color w:val="000000"/>
              </w:rPr>
              <w:t xml:space="preserve"> if either of the parties or any of their respective Affiliates is cited as the sole source of such information, then such information shall not be deemed to be Publicly Available Information; or</w:t>
            </w:r>
          </w:p>
          <w:p>
            <w:pPr>
              <w:pStyle w:val="BodyTextIndent"/>
              <w:numPr>
                <w:ilvl w:val="0"/>
                <w:numId w:val="3"/>
              </w:numPr>
              <w:spacing w:before="120" w:after="0"/>
              <w:rPr>
                <w:color w:val="000000"/>
              </w:rPr>
            </w:pPr>
            <w:r>
              <w:rPr>
                <w:color w:val="000000"/>
              </w:rPr>
              <w:t>is information contained in a petition or filing with, or order, decree or notice (howsoever described) of, a court, tribunal, regulatory authority or other similar administrative authority of competent jurisdiction and such petition, filing, order, decree or notice, is a matter of public record on the date the Notice of Publicly Available Information is effective.</w:t>
            </w:r>
          </w:p>
          <w:p>
            <w:pPr>
              <w:pStyle w:val="Normal"/>
              <w:spacing w:before="120" w:after="0"/>
              <w:jc w:val="both"/>
              <w:rPr>
                <w:color w:val="000000"/>
              </w:rPr>
            </w:pPr>
            <w:r>
              <w:rPr>
                <w:color w:val="000000"/>
              </w:rPr>
            </w:r>
          </w:p>
        </w:tc>
      </w:tr>
    </w:tbl>
    <w:p>
      <w:pPr>
        <w:pStyle w:val="Normal"/>
        <w:spacing w:before="120" w:after="0"/>
        <w:jc w:val="both"/>
        <w:rPr>
          <w:b/>
        </w:rPr>
      </w:pPr>
      <w:r>
        <w:rPr>
          <w:b/>
        </w:rPr>
      </w:r>
    </w:p>
    <w:sectPr>
      <w:headerReference w:type="default" r:id="rId2"/>
      <w:footerReference w:type="default" r:id="rId3"/>
      <w:footnotePr>
        <w:numFmt w:val="decimal"/>
      </w:footnotePr>
      <w:type w:val="nextPage"/>
      <w:pgSz w:w="12240" w:h="15840"/>
      <w:pgMar w:left="1134" w:right="1041" w:gutter="0" w:header="357" w:top="957" w:footer="391"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lang w:eastAsia="en-US"/>
      </w:rPr>
      <w:t xml:space="preserve">Page </w:t>
    </w:r>
    <w:r>
      <w:rPr>
        <w:rStyle w:val="PageNumber"/>
        <w:lang w:eastAsia="en-US"/>
      </w:rPr>
      <w:fldChar w:fldCharType="begin"/>
    </w:r>
    <w:r>
      <w:rPr>
        <w:rStyle w:val="PageNumber"/>
        <w:lang w:eastAsia="en-US"/>
      </w:rPr>
      <w:instrText xml:space="preserve"> PAGE </w:instrText>
    </w:r>
    <w:r>
      <w:rPr>
        <w:rStyle w:val="PageNumber"/>
        <w:lang w:eastAsia="en-US"/>
      </w:rPr>
      <w:fldChar w:fldCharType="separate"/>
    </w:r>
    <w:r>
      <w:rPr>
        <w:rStyle w:val="PageNumber"/>
        <w:lang w:eastAsia="en-US"/>
      </w:rPr>
      <w:t>5</w:t>
    </w:r>
    <w:r>
      <w:rPr>
        <w:rStyle w:val="PageNumber"/>
        <w:lang w:eastAsia="en-US"/>
      </w:rPr>
      <w:fldChar w:fldCharType="end"/>
    </w:r>
    <w:r>
      <w:rPr>
        <w:rStyle w:val="PageNumber"/>
        <w:lang w:eastAsia="en-US"/>
      </w:rPr>
      <w:t xml:space="preserve"> of </w:t>
    </w:r>
    <w:r>
      <w:rPr>
        <w:rStyle w:val="PageNumber"/>
        <w:lang w:eastAsia="en-US"/>
      </w:rPr>
      <w:fldChar w:fldCharType="begin"/>
    </w:r>
    <w:r>
      <w:rPr>
        <w:rStyle w:val="PageNumber"/>
        <w:lang w:eastAsia="en-US"/>
      </w:rPr>
      <w:instrText xml:space="preserve"> NUMPAGES \* ARABIC </w:instrText>
    </w:r>
    <w:r>
      <w:rPr>
        <w:rStyle w:val="PageNumber"/>
        <w:lang w:eastAsia="en-US"/>
      </w:rPr>
      <w:fldChar w:fldCharType="separate"/>
    </w:r>
    <w:r>
      <w:rPr>
        <w:rStyle w:val="PageNumber"/>
        <w:lang w:eastAsia="en-US"/>
      </w:rPr>
      <w:t>5</w:t>
    </w:r>
    <w:r>
      <w:rPr>
        <w:rStyle w:val="PageNumber"/>
        <w:lang w:eastAsia="en-US"/>
      </w:rPr>
      <w:fldChar w:fldCharType="end"/>
    </w:r>
  </w:p>
  <w:p>
    <w:pPr>
      <w:pStyle w:val="Normal"/>
      <w:spacing w:before="120" w:after="0"/>
      <w:jc w:val="both"/>
      <w:rPr/>
    </w:pPr>
    <w:r>
      <w:rPr>
        <w:sz w:val="16"/>
      </w:rPr>
      <w:t>The above is a summary of the indicative terms and conditions of a proposed transaction and is subject to change.  It has been prepared by Enron for information purposes only.  It is not intended to create, and does not create, a binding or enforceable contract or to be complete or include all of the terms of the proposed transaction.  This is not an offer or a commitment by Enron or any parent or affiliate of Enron.  The transaction contemplated herein is subject to further review and approval by Enron and the execution of a definitive agreement containing all appropriate provisions including those relating to credit, tax and limitation of damages and remedies.</w:t>
    </w:r>
  </w:p>
  <w:p>
    <w:pPr>
      <w:pStyle w:val="Normal"/>
      <w:spacing w:before="120" w:after="0"/>
      <w:jc w:val="both"/>
      <w:rPr>
        <w:sz w:val="16"/>
      </w:rPr>
    </w:pPr>
    <w:r>
      <w:rPr>
        <w:sz w:val="16"/>
      </w:rPr>
      <w:t>We have sent you this document in your capacity as a potential counterparty acting at arm’s length.  We are not acting as your adviser, nor in a fiduciary capacity, in respect of the proposed transaction.  Further, no representation or warranty is made by us concerning the legal, regulatory or tax implications in any applicable jurisdiction of the proposed transaction.  We are not making any recommendation regarding the proposed transaction.  Before entering into a transaction you should ensure that you understand the transaction and have made an independent assessment of the appropriateness of the transaction in light of your own objectives and circumstances, including the possible risks and benefits of entering into such a transaction.</w:t>
    </w:r>
  </w:p>
  <w:p>
    <w:pPr>
      <w:pStyle w:val="Footer"/>
      <w:rPr>
        <w:sz w:val="16"/>
      </w:rPr>
    </w:pPr>
    <w:r>
      <w:rPr>
        <w:sz w:val="16"/>
      </w:rPr>
    </w:r>
  </w:p>
  <w:p>
    <w:pPr>
      <w:pStyle w:val="Footer"/>
      <w:rPr>
        <w:rStyle w:val="PageNumber"/>
        <w:sz w:val="16"/>
      </w:rPr>
    </w:pPr>
    <w:r>
      <w:rPr>
        <w:sz w:val="16"/>
      </w:rPr>
      <w:t>This document is confidential and shall not be disclosed to any third party without Enron’s prior written consent.</w:t>
    </w:r>
  </w:p>
  <w:p>
    <w:pPr>
      <w:pStyle w:val="Footer"/>
      <w:jc w:val="center"/>
      <w:rPr>
        <w:rStyle w:val="PageNumber"/>
      </w:rPr>
    </w:pPr>
    <w:r>
      <w:rPr/>
    </w:r>
  </w:p>
  <w:p>
    <w:pPr>
      <w:pStyle w:val="Footer"/>
      <w:jc w:val="both"/>
      <w:rPr>
        <w:rStyle w:val="PageNumb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Include for “collateral version”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630" w:leader="none"/>
        <w:tab w:val="right" w:pos="10710" w:leader="none"/>
      </w:tabs>
      <w:jc w:val="end"/>
      <w:rPr>
        <w:b/>
        <w:sz w:val="24"/>
      </w:rPr>
    </w:pPr>
    <w:r>
      <w:rPr>
        <w:b/>
        <w:sz w:val="24"/>
      </w:rPr>
      <w:tab/>
      <w:t xml:space="preserve">Confidential &amp; Subject to Contract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4"/>
      <w:numFmt w:val="lowerRoman"/>
      <w:lvlText w:val="(%1)"/>
      <w:lvlJc w:val="start"/>
      <w:pPr>
        <w:tabs>
          <w:tab w:val="num" w:pos="720"/>
        </w:tabs>
        <w:ind w:start="1080" w:hanging="360"/>
      </w:pPr>
      <w:rPr>
        <w:i w:val="false"/>
        <w:b w:val="false"/>
        <w:color w:val="auto"/>
      </w:rPr>
    </w:lvl>
  </w:abstractNum>
  <w:abstractNum w:abstractNumId="3">
    <w:lvl w:ilvl="0">
      <w:start w:val="1"/>
      <w:numFmt w:val="lowerLetter"/>
      <w:lvlText w:val="(%1)"/>
      <w:lvlJc w:val="start"/>
      <w:pPr>
        <w:tabs>
          <w:tab w:val="num" w:pos="1080"/>
        </w:tabs>
        <w:ind w:start="1080" w:hanging="360"/>
      </w:pPr>
      <w:rPr>
        <w:i w:val="false"/>
        <w:b w:val="false"/>
        <w:color w:val="auto"/>
      </w:rPr>
    </w:lvl>
  </w:abstractNum>
  <w:abstractNum w:abstractNumId="4">
    <w:lvl w:ilvl="0">
      <w:start w:val="1"/>
      <w:numFmt w:val="lowerRoman"/>
      <w:lvlText w:val="(%1)"/>
      <w:lvlJc w:val="start"/>
      <w:pPr>
        <w:tabs>
          <w:tab w:val="num" w:pos="720"/>
        </w:tabs>
        <w:ind w:start="1080" w:hanging="360"/>
      </w:pPr>
      <w:rPr>
        <w:i w:val="false"/>
        <w:b w:val="false"/>
        <w:color w:val="auto"/>
      </w:rPr>
    </w:lvl>
  </w:abstractNum>
  <w:abstractNum w:abstractNumId="5">
    <w:lvl w:ilvl="0">
      <w:start w:val="1"/>
      <w:numFmt w:val="lowerLetter"/>
      <w:lvlText w:val="(%1)"/>
      <w:lvlJc w:val="start"/>
      <w:pPr>
        <w:tabs>
          <w:tab w:val="num" w:pos="1080"/>
        </w:tabs>
        <w:ind w:start="1080" w:hanging="360"/>
      </w:pPr>
      <w:rPr>
        <w:i w:val="false"/>
        <w:b w:val="false"/>
        <w:color w:val="auto"/>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u w:val="single"/>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spacing w:before="20" w:after="60"/>
      <w:outlineLvl w:val="2"/>
    </w:pPr>
    <w:rPr>
      <w:sz w:val="24"/>
    </w:rPr>
  </w:style>
  <w:style w:type="paragraph" w:styleId="Heading4">
    <w:name w:val="heading 4"/>
    <w:basedOn w:val="Normal"/>
    <w:next w:val="Normal"/>
    <w:qFormat/>
    <w:pPr>
      <w:keepNext w:val="true"/>
      <w:numPr>
        <w:ilvl w:val="3"/>
        <w:numId w:val="1"/>
      </w:numPr>
      <w:spacing w:before="20" w:after="60"/>
      <w:outlineLvl w:val="3"/>
    </w:pPr>
    <w:rPr>
      <w:color w:val="000080"/>
      <w:sz w:val="24"/>
    </w:rPr>
  </w:style>
  <w:style w:type="paragraph" w:styleId="Heading5">
    <w:name w:val="heading 5"/>
    <w:basedOn w:val="Normal"/>
    <w:next w:val="Normal"/>
    <w:qFormat/>
    <w:pPr>
      <w:keepNext w:val="true"/>
      <w:numPr>
        <w:ilvl w:val="4"/>
        <w:numId w:val="1"/>
      </w:numPr>
      <w:spacing w:before="20" w:after="60"/>
      <w:jc w:val="center"/>
      <w:outlineLvl w:val="4"/>
    </w:pPr>
    <w:rPr>
      <w:b/>
      <w:sz w:val="24"/>
    </w:rPr>
  </w:style>
  <w:style w:type="paragraph" w:styleId="Heading6">
    <w:name w:val="heading 6"/>
    <w:basedOn w:val="Normal"/>
    <w:next w:val="Normal"/>
    <w:qFormat/>
    <w:pPr>
      <w:keepNext w:val="true"/>
      <w:numPr>
        <w:ilvl w:val="5"/>
        <w:numId w:val="1"/>
      </w:numPr>
      <w:spacing w:before="20" w:after="60"/>
      <w:jc w:val="center"/>
      <w:outlineLvl w:val="5"/>
    </w:pPr>
    <w:rPr>
      <w:sz w:val="36"/>
    </w:rPr>
  </w:style>
  <w:style w:type="paragraph" w:styleId="Heading7">
    <w:name w:val="heading 7"/>
    <w:basedOn w:val="Normal"/>
    <w:next w:val="Normal"/>
    <w:qFormat/>
    <w:pPr>
      <w:keepNext w:val="true"/>
      <w:numPr>
        <w:ilvl w:val="6"/>
        <w:numId w:val="1"/>
      </w:numPr>
      <w:spacing w:before="0" w:after="60"/>
      <w:ind w:firstLine="720" w:start="2880" w:end="0"/>
      <w:outlineLvl w:val="6"/>
    </w:pPr>
    <w:rPr>
      <w:b/>
      <w:color w:val="000000"/>
      <w:sz w:val="32"/>
    </w:rPr>
  </w:style>
  <w:style w:type="paragraph" w:styleId="Heading8">
    <w:name w:val="heading 8"/>
    <w:basedOn w:val="Normal"/>
    <w:next w:val="Normal"/>
    <w:qFormat/>
    <w:pPr>
      <w:keepNext w:val="true"/>
      <w:numPr>
        <w:ilvl w:val="7"/>
        <w:numId w:val="1"/>
      </w:numPr>
      <w:spacing w:before="0" w:after="60"/>
      <w:ind w:hanging="2880" w:start="2880" w:end="0"/>
      <w:jc w:val="both"/>
      <w:outlineLvl w:val="7"/>
    </w:pPr>
    <w:rPr>
      <w:color w:val="000000"/>
      <w:sz w:val="32"/>
    </w:rPr>
  </w:style>
  <w:style w:type="paragraph" w:styleId="Heading9">
    <w:name w:val="heading 9"/>
    <w:basedOn w:val="Normal"/>
    <w:next w:val="Normal"/>
    <w:qFormat/>
    <w:pPr>
      <w:keepNext w:val="true"/>
      <w:numPr>
        <w:ilvl w:val="8"/>
        <w:numId w:val="1"/>
      </w:numPr>
      <w:jc w:val="center"/>
      <w:outlineLvl w:val="8"/>
    </w:pPr>
    <w:rPr>
      <w:sz w:val="28"/>
      <w:u w:val="single"/>
    </w:rPr>
  </w:style>
  <w:style w:type="character" w:styleId="WW8Num1z0">
    <w:name w:val="WW8Num1z0"/>
    <w:qFormat/>
    <w:rPr>
      <w:b w:val="false"/>
      <w:i w:val="false"/>
      <w:color w:val="auto"/>
    </w:rPr>
  </w:style>
  <w:style w:type="character" w:styleId="WW8Num2z0">
    <w:name w:val="WW8Num2z0"/>
    <w:qFormat/>
    <w:rPr>
      <w:b w:val="false"/>
      <w:i w:val="false"/>
      <w:color w:val="auto"/>
    </w:rPr>
  </w:style>
  <w:style w:type="character" w:styleId="WW8Num3z0">
    <w:name w:val="WW8Num3z0"/>
    <w:qFormat/>
    <w:rPr>
      <w:b w:val="false"/>
      <w:i w:val="false"/>
      <w:color w:val="auto"/>
    </w:rPr>
  </w:style>
  <w:style w:type="character" w:styleId="WW8Num4z0">
    <w:name w:val="WW8Num4z0"/>
    <w:qFormat/>
    <w:rPr>
      <w:b w:val="false"/>
      <w:i w:val="false"/>
      <w:color w:val="auto"/>
    </w:rPr>
  </w:style>
  <w:style w:type="character" w:styleId="WW8Num7z0">
    <w:name w:val="WW8Num7z0"/>
    <w:qFormat/>
    <w:rPr/>
  </w:style>
  <w:style w:type="character" w:styleId="WW8Num9z0">
    <w:name w:val="WW8Num9z0"/>
    <w:qFormat/>
    <w:rPr/>
  </w:style>
  <w:style w:type="character" w:styleId="WW8Num10z0">
    <w:name w:val="WW8Num10z0"/>
    <w:qFormat/>
    <w:rPr>
      <w:sz w:val="16"/>
    </w:rPr>
  </w:style>
  <w:style w:type="character" w:styleId="WW8Num11z0">
    <w:name w:val="WW8Num11z0"/>
    <w:qFormat/>
    <w:rPr>
      <w:b w:val="false"/>
      <w:i w:val="false"/>
      <w:color w:val="auto"/>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24"/>
      <w:u w:val="single"/>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next w:val="Normal"/>
    <w:qFormat/>
    <w:pPr>
      <w:tabs>
        <w:tab w:val="clear" w:pos="720"/>
        <w:tab w:val="left" w:pos="2880" w:leader="none"/>
      </w:tabs>
      <w:spacing w:before="20" w:after="60"/>
    </w:pPr>
    <w:rPr>
      <w:b/>
      <w:sz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687" w:start="720" w:end="0"/>
      <w:jc w:val="both"/>
    </w:pPr>
    <w:rPr>
      <w:sz w:val="24"/>
    </w:rPr>
  </w:style>
  <w:style w:type="paragraph" w:styleId="BodyTextIndent2">
    <w:name w:val="Body Text Indent 2"/>
    <w:basedOn w:val="Normal"/>
    <w:qFormat/>
    <w:pPr>
      <w:tabs>
        <w:tab w:val="clear" w:pos="720"/>
        <w:tab w:val="left" w:pos="-18" w:leader="none"/>
      </w:tabs>
      <w:ind w:hanging="18" w:start="0" w:end="0"/>
      <w:jc w:val="both"/>
    </w:pPr>
    <w:rPr>
      <w:rFonts w:ascii="CG Times;Times New Roman" w:hAnsi="CG Times;Times New Roman" w:cs="CG Times;Times New Roman"/>
      <w:sz w:val="24"/>
    </w:rPr>
  </w:style>
  <w:style w:type="paragraph" w:styleId="BodyTextIndent3">
    <w:name w:val="Body Text Indent 3"/>
    <w:basedOn w:val="Normal"/>
    <w:qFormat/>
    <w:pPr>
      <w:tabs>
        <w:tab w:val="left" w:pos="-18" w:leader="none"/>
        <w:tab w:val="left" w:pos="720" w:leader="none"/>
        <w:tab w:val="left" w:pos="1440" w:leader="none"/>
      </w:tabs>
      <w:ind w:firstLine="18" w:start="-18" w:end="0"/>
      <w:jc w:val="both"/>
    </w:pPr>
    <w:rPr>
      <w:rFonts w:ascii="CG Times;Times New Roman" w:hAnsi="CG Times;Times New Roman" w:cs="CG Times;Times New Roman"/>
      <w:sz w:val="24"/>
    </w:rPr>
  </w:style>
  <w:style w:type="paragraph" w:styleId="BodyText3">
    <w:name w:val="Body Text 3"/>
    <w:basedOn w:val="Normal"/>
    <w:qFormat/>
    <w:pPr>
      <w:tabs>
        <w:tab w:val="left" w:pos="0" w:leader="none"/>
        <w:tab w:val="left" w:pos="720" w:leader="none"/>
        <w:tab w:val="left" w:pos="1440" w:leader="none"/>
      </w:tabs>
      <w:jc w:val="both"/>
    </w:pPr>
    <w:rPr>
      <w:rFonts w:ascii="CG Times;Times New Roman" w:hAnsi="CG Times;Times New Roman" w:cs="CG Times;Times New Roman"/>
      <w:sz w:val="24"/>
    </w:rPr>
  </w:style>
  <w:style w:type="paragraph" w:styleId="FootnoteText">
    <w:name w:val="footnote text"/>
    <w:basedOn w:val="Normal"/>
    <w:pPr/>
    <w:rPr/>
  </w:style>
  <w:style w:type="paragraph" w:styleId="CommentText">
    <w:name w:val="Comment Text"/>
    <w:basedOn w:val="Normal"/>
    <w:qFormat/>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33"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2000-06-14T06:23:00Z</dcterms:created>
  <dc:creator>smurdock</dc:creator>
  <dc:description/>
  <dc:language>en-CA</dc:language>
  <cp:lastModifiedBy>doconnel</cp:lastModifiedBy>
  <cp:lastPrinted>2000-06-01T11:44:00Z</cp:lastPrinted>
  <dcterms:modified xsi:type="dcterms:W3CDTF">2000-06-14T06:29:00Z</dcterms:modified>
  <cp:revision>5</cp:revision>
  <dc:subject/>
  <dc:title>Credit Default Swaps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Author">
    <vt:lpwstr>GPXB</vt:lpwstr>
  </property>
  <property fmtid="{D5CDD505-2E9C-101B-9397-08002B2CF9AE}" pid="3" name="udp_BorderStyle">
    <vt:lpwstr>None</vt:lpwstr>
  </property>
  <property fmtid="{D5CDD505-2E9C-101B-9397-08002B2CF9AE}" pid="4" name="udp_CMNumber">
    <vt:lpwstr>214686/11161</vt:lpwstr>
  </property>
  <property fmtid="{D5CDD505-2E9C-101B-9397-08002B2CF9AE}" pid="5" name="udp_Client">
    <vt:lpwstr> </vt:lpwstr>
  </property>
  <property fmtid="{D5CDD505-2E9C-101B-9397-08002B2CF9AE}" pid="6" name="udp_DocID">
    <vt:lpwstr>CA003670470</vt:lpwstr>
  </property>
  <property fmtid="{D5CDD505-2E9C-101B-9397-08002B2CF9AE}" pid="7" name="udp_Justified">
    <vt:bool>0</vt:bool>
  </property>
  <property fmtid="{D5CDD505-2E9C-101B-9397-08002B2CF9AE}" pid="8" name="udp_Layout">
    <vt:lpwstr>None</vt:lpwstr>
  </property>
  <property fmtid="{D5CDD505-2E9C-101B-9397-08002B2CF9AE}" pid="9" name="udp_Matter">
    <vt:lpwstr> </vt:lpwstr>
  </property>
  <property fmtid="{D5CDD505-2E9C-101B-9397-08002B2CF9AE}" pid="10" name="udp_Typist">
    <vt:lpwstr>Ruggeri, Roberto</vt:lpwstr>
  </property>
  <property fmtid="{D5CDD505-2E9C-101B-9397-08002B2CF9AE}" pid="11" name="udp_Version">
    <vt:lpwstr>11</vt:lpwstr>
  </property>
</Properties>
</file>