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sz w:val="24"/>
        </w:rPr>
      </w:pPr>
      <w:r>
        <w:rPr>
          <w:sz w:val="24"/>
        </w:rPr>
        <w:t>Issues affecting EES California Book</w:t>
      </w:r>
    </w:p>
    <w:p>
      <w:pPr>
        <w:pStyle w:val="Heading6"/>
        <w:ind w:hanging="0" w:start="0"/>
        <w:jc w:val="center"/>
        <w:rPr/>
      </w:pPr>
      <w:r>
        <w:rPr/>
        <w:t>REGULATORY - RELATED</w:t>
      </w:r>
    </w:p>
    <w:p>
      <w:pPr>
        <w:pStyle w:val="Heading3"/>
        <w:ind w:hanging="0" w:start="0"/>
        <w:jc w:val="center"/>
        <w:rPr>
          <w:i/>
          <w:i/>
        </w:rPr>
      </w:pPr>
      <w:r>
        <w:rPr>
          <w:i/>
        </w:rPr>
        <w:t>Prepared by Utility Risk Management</w:t>
      </w:r>
    </w:p>
    <w:p>
      <w:pPr>
        <w:pStyle w:val="Normal"/>
        <w:jc w:val="center"/>
        <w:rPr>
          <w:i/>
          <w:i/>
          <w:sz w:val="24"/>
        </w:rPr>
      </w:pPr>
      <w:r>
        <w:rPr>
          <w:i/>
          <w:sz w:val="24"/>
        </w:rPr>
        <w:fldChar w:fldCharType="begin"/>
      </w:r>
      <w:r>
        <w:rPr>
          <w:sz w:val="24"/>
          <w:i/>
        </w:rPr>
        <w:instrText xml:space="preserve"> DATE \@"MMMM\ d', 'yyyy" </w:instrText>
      </w:r>
      <w:r>
        <w:rPr>
          <w:sz w:val="24"/>
          <w:i/>
        </w:rPr>
        <w:fldChar w:fldCharType="separate"/>
      </w:r>
      <w:r>
        <w:rPr>
          <w:sz w:val="24"/>
          <w:i/>
        </w:rPr>
        <w:t>September 28, 2025</w:t>
      </w:r>
      <w:r>
        <w:rPr>
          <w:sz w:val="24"/>
          <w:i/>
        </w:rPr>
        <w:fldChar w:fldCharType="end"/>
      </w:r>
    </w:p>
    <w:p>
      <w:pPr>
        <w:pStyle w:val="Normal"/>
        <w:rPr>
          <w:i/>
          <w:i/>
          <w:sz w:val="24"/>
        </w:rPr>
      </w:pPr>
      <w:r>
        <w:rPr>
          <w:i/>
          <w:sz w:val="24"/>
        </w:rPr>
      </w:r>
    </w:p>
    <w:p>
      <w:pPr>
        <w:pStyle w:val="Normal"/>
        <w:rPr>
          <w:sz w:val="24"/>
        </w:rPr>
      </w:pPr>
      <w:r>
        <w:rPr>
          <w:sz w:val="24"/>
        </w:rPr>
        <w:t xml:space="preserve">In support of </w:t>
      </w:r>
    </w:p>
    <w:p>
      <w:pPr>
        <w:pStyle w:val="Normal"/>
        <w:numPr>
          <w:ilvl w:val="0"/>
          <w:numId w:val="6"/>
        </w:numPr>
        <w:rPr>
          <w:sz w:val="24"/>
        </w:rPr>
      </w:pPr>
      <w:r>
        <w:rPr>
          <w:sz w:val="24"/>
        </w:rPr>
        <w:t>Reducing the exposure of EES to the market opening in 2001 (see ISSUES 1 and 2, below)</w:t>
      </w:r>
    </w:p>
    <w:p>
      <w:pPr>
        <w:pStyle w:val="Normal"/>
        <w:numPr>
          <w:ilvl w:val="0"/>
          <w:numId w:val="6"/>
        </w:numPr>
        <w:rPr>
          <w:sz w:val="24"/>
        </w:rPr>
      </w:pPr>
      <w:r>
        <w:rPr>
          <w:sz w:val="24"/>
        </w:rPr>
        <w:t>Influencing the market structure of California to support sustainable EES profit-making opportunities (see ISSUE 3).</w:t>
      </w:r>
    </w:p>
    <w:p>
      <w:pPr>
        <w:pStyle w:val="Normal"/>
        <w:rPr>
          <w:sz w:val="24"/>
        </w:rPr>
      </w:pPr>
      <w:r>
        <w:rPr>
          <w:sz w:val="24"/>
        </w:rPr>
      </w:r>
    </w:p>
    <w:p>
      <w:pPr>
        <w:pStyle w:val="Normal"/>
        <w:rPr>
          <w:sz w:val="24"/>
        </w:rPr>
      </w:pPr>
      <w:r>
        <w:rPr>
          <w:sz w:val="24"/>
        </w:rPr>
        <w:t>The following matrix is structured so as to show a link between these goals and the recommended regulatory action:</w:t>
      </w:r>
    </w:p>
    <w:p>
      <w:pPr>
        <w:pStyle w:val="Normal"/>
        <w:rPr>
          <w:sz w:val="24"/>
        </w:rPr>
      </w:pPr>
      <w:r>
        <w:rPr>
          <w:sz w:val="24"/>
        </w:rPr>
      </w:r>
    </w:p>
    <w:p>
      <w:pPr>
        <w:pStyle w:val="Normal"/>
        <w:rPr>
          <w:sz w:val="24"/>
        </w:rPr>
      </w:pPr>
      <w:r>
        <w:rPr>
          <w:sz w:val="24"/>
        </w:rPr>
        <w:t>Note:  I think our focus on the current valuation processes is over-emphasized.  I think it doubtful that the contentious valuation process that is already underway in the regulatory arena will be circumvented or brought forward in time because of current cash-flow problems.  The valuations will likely continue along their current regulatory paths.  I would recommend developing other alternatives to the IOU’s cash-flow problem.  These should be developed in conjunction with a ‘transition to deregulation’ plan that we can lobby witih.</w:t>
      </w:r>
    </w:p>
    <w:p>
      <w:pPr>
        <w:pStyle w:val="Normal"/>
        <w:rPr>
          <w:b/>
          <w:sz w:val="24"/>
        </w:rPr>
      </w:pPr>
      <w:r>
        <w:rPr>
          <w:b/>
          <w:sz w:val="24"/>
        </w:rPr>
      </w:r>
    </w:p>
    <w:tbl>
      <w:tblPr>
        <w:tblW w:w="13068" w:type="dxa"/>
        <w:jc w:val="start"/>
        <w:tblInd w:w="0" w:type="dxa"/>
        <w:tblLayout w:type="fixed"/>
        <w:tblCellMar>
          <w:top w:w="0" w:type="dxa"/>
          <w:start w:w="108" w:type="dxa"/>
          <w:bottom w:w="0" w:type="dxa"/>
          <w:end w:w="108" w:type="dxa"/>
        </w:tblCellMar>
      </w:tblPr>
      <w:tblGrid>
        <w:gridCol w:w="2635"/>
        <w:gridCol w:w="1793"/>
        <w:gridCol w:w="1890"/>
        <w:gridCol w:w="1620"/>
        <w:gridCol w:w="5130"/>
      </w:tblGrid>
      <w:tr>
        <w:trPr/>
        <w:tc>
          <w:tcPr>
            <w:tcW w:w="2635"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ISSUES</w:t>
            </w:r>
          </w:p>
        </w:tc>
        <w:tc>
          <w:tcPr>
            <w:tcW w:w="1793"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TIME-FRAME</w:t>
            </w:r>
          </w:p>
        </w:tc>
        <w:tc>
          <w:tcPr>
            <w:tcW w:w="1890"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RISK</w:t>
            </w:r>
          </w:p>
        </w:tc>
        <w:tc>
          <w:tcPr>
            <w:tcW w:w="1620"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LIKELIHOOD</w:t>
            </w:r>
          </w:p>
        </w:tc>
        <w:tc>
          <w:tcPr>
            <w:tcW w:w="5130"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RECOMMENDED ACTION</w:t>
            </w:r>
          </w:p>
        </w:tc>
      </w:tr>
      <w:tr>
        <w:trPr/>
        <w:tc>
          <w:tcPr>
            <w:tcW w:w="2635"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Transition to De-Reg ends in 2001</w:t>
            </w:r>
          </w:p>
          <w:p>
            <w:pPr>
              <w:pStyle w:val="Normal"/>
              <w:numPr>
                <w:ilvl w:val="0"/>
                <w:numId w:val="7"/>
              </w:numPr>
              <w:rPr>
                <w:b/>
                <w:color w:val="0000FF"/>
              </w:rPr>
            </w:pPr>
            <w:r>
              <w:rPr>
                <w:b/>
                <w:color w:val="0000FF"/>
              </w:rPr>
              <w:t>pay market prices</w:t>
            </w:r>
          </w:p>
          <w:p>
            <w:pPr>
              <w:pStyle w:val="Normal"/>
              <w:rPr>
                <w:b/>
                <w:color w:val="0000FF"/>
              </w:rPr>
            </w:pPr>
            <w:r>
              <w:rPr>
                <w:b/>
                <w:color w:val="0000FF"/>
              </w:rPr>
            </w:r>
          </w:p>
        </w:tc>
        <w:tc>
          <w:tcPr>
            <w:tcW w:w="17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2001</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VERY HIGH.</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LOW</w:t>
            </w:r>
          </w:p>
        </w:tc>
        <w:tc>
          <w:tcPr>
            <w:tcW w:w="51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Ensure snail-pace valuation continues.</w:t>
            </w:r>
          </w:p>
        </w:tc>
      </w:tr>
      <w:tr>
        <w:trPr/>
        <w:tc>
          <w:tcPr>
            <w:tcW w:w="2635"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Frozen rate levels do not cover incremental costs</w:t>
            </w:r>
          </w:p>
          <w:p>
            <w:pPr>
              <w:pStyle w:val="Normal"/>
              <w:numPr>
                <w:ilvl w:val="0"/>
                <w:numId w:val="3"/>
              </w:numPr>
              <w:rPr>
                <w:b/>
                <w:color w:val="0000FF"/>
              </w:rPr>
            </w:pPr>
            <w:r>
              <w:rPr>
                <w:b/>
                <w:color w:val="0000FF"/>
              </w:rPr>
              <w:t>Rate Increase in 2001</w:t>
            </w:r>
          </w:p>
          <w:p>
            <w:pPr>
              <w:pStyle w:val="Normal"/>
              <w:rPr>
                <w:b/>
                <w:color w:val="0000FF"/>
              </w:rPr>
            </w:pPr>
            <w:r>
              <w:rPr>
                <w:b/>
                <w:color w:val="0000FF"/>
              </w:rPr>
            </w:r>
          </w:p>
        </w:tc>
        <w:tc>
          <w:tcPr>
            <w:tcW w:w="17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2001</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HIGH.</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HIGH</w:t>
            </w:r>
          </w:p>
        </w:tc>
        <w:tc>
          <w:tcPr>
            <w:tcW w:w="51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 xml:space="preserve">Develop alternatives that minimize impact to EES. </w:t>
            </w:r>
          </w:p>
          <w:p>
            <w:pPr>
              <w:pStyle w:val="Normal"/>
              <w:numPr>
                <w:ilvl w:val="0"/>
                <w:numId w:val="5"/>
              </w:numPr>
              <w:rPr/>
            </w:pPr>
            <w:r>
              <w:rPr/>
              <w:t>Make sure that rate increase alternatives support path to sustainable de-reg (ISSUE #3)</w:t>
            </w:r>
          </w:p>
          <w:p>
            <w:pPr>
              <w:pStyle w:val="Normal"/>
              <w:rPr/>
            </w:pPr>
            <w:r>
              <w:rPr/>
            </w:r>
          </w:p>
        </w:tc>
      </w:tr>
      <w:tr>
        <w:trPr/>
        <w:tc>
          <w:tcPr>
            <w:tcW w:w="2635" w:type="dxa"/>
            <w:tcBorders>
              <w:top w:val="single" w:sz="4" w:space="0" w:color="000000"/>
              <w:start w:val="single" w:sz="4" w:space="0" w:color="000000"/>
              <w:bottom w:val="single" w:sz="4" w:space="0" w:color="000000"/>
              <w:end w:val="single" w:sz="4" w:space="0" w:color="000000"/>
            </w:tcBorders>
          </w:tcPr>
          <w:p>
            <w:pPr>
              <w:pStyle w:val="Normal"/>
              <w:numPr>
                <w:ilvl w:val="0"/>
                <w:numId w:val="8"/>
              </w:numPr>
              <w:rPr/>
            </w:pPr>
            <w:r>
              <w:rPr/>
              <w:t>Public and Legislature do not like current situation.</w:t>
            </w:r>
          </w:p>
          <w:p>
            <w:pPr>
              <w:pStyle w:val="Normal"/>
              <w:numPr>
                <w:ilvl w:val="0"/>
                <w:numId w:val="11"/>
              </w:numPr>
              <w:rPr>
                <w:b/>
                <w:color w:val="0000FF"/>
              </w:rPr>
            </w:pPr>
            <w:r>
              <w:rPr>
                <w:b/>
                <w:color w:val="0000FF"/>
              </w:rPr>
              <w:t>CPUC makes rash decision in short-term</w:t>
            </w:r>
          </w:p>
          <w:p>
            <w:pPr>
              <w:pStyle w:val="Normal"/>
              <w:rPr>
                <w:b/>
                <w:color w:val="0000FF"/>
              </w:rPr>
            </w:pPr>
            <w:r>
              <w:rPr>
                <w:b/>
                <w:color w:val="0000FF"/>
              </w:rPr>
            </w:r>
          </w:p>
        </w:tc>
        <w:tc>
          <w:tcPr>
            <w:tcW w:w="17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On-going</w:t>
            </w:r>
          </w:p>
        </w:tc>
        <w:tc>
          <w:tcPr>
            <w:tcW w:w="18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AFFECTS FUTURE OPPORTUNITIES</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HIGH</w:t>
            </w:r>
          </w:p>
        </w:tc>
        <w:tc>
          <w:tcPr>
            <w:tcW w:w="5130" w:type="dxa"/>
            <w:tcBorders>
              <w:top w:val="single" w:sz="4" w:space="0" w:color="000000"/>
              <w:start w:val="single" w:sz="4" w:space="0" w:color="000000"/>
              <w:bottom w:val="single" w:sz="4" w:space="0" w:color="000000"/>
              <w:end w:val="single" w:sz="4" w:space="0" w:color="000000"/>
            </w:tcBorders>
          </w:tcPr>
          <w:p>
            <w:pPr>
              <w:pStyle w:val="Normal"/>
              <w:numPr>
                <w:ilvl w:val="0"/>
                <w:numId w:val="5"/>
              </w:numPr>
              <w:rPr/>
            </w:pPr>
            <w:r>
              <w:rPr/>
              <w:t xml:space="preserve">Show stakeholders that return to regulation is impossible to achieve in today’s marketplace. </w:t>
            </w:r>
          </w:p>
          <w:p>
            <w:pPr>
              <w:pStyle w:val="Normal"/>
              <w:numPr>
                <w:ilvl w:val="0"/>
                <w:numId w:val="5"/>
              </w:numPr>
              <w:rPr/>
            </w:pPr>
            <w:r>
              <w:rPr/>
              <w:t>Bring transition plan to de-reg to stakeholders.</w:t>
            </w:r>
          </w:p>
          <w:p>
            <w:pPr>
              <w:pStyle w:val="Normal"/>
              <w:numPr>
                <w:ilvl w:val="0"/>
                <w:numId w:val="5"/>
              </w:numPr>
              <w:rPr/>
            </w:pPr>
            <w:r>
              <w:rPr/>
              <w:t>Ensure that benefit-sharing mechanisms are defined and implemented as part of transition.</w:t>
            </w:r>
          </w:p>
          <w:p>
            <w:pPr>
              <w:pStyle w:val="Normal"/>
              <w:rPr/>
            </w:pPr>
            <w:r>
              <w:rPr/>
            </w:r>
          </w:p>
        </w:tc>
      </w:tr>
    </w:tbl>
    <w:p>
      <w:pPr>
        <w:pStyle w:val="Normal"/>
        <w:rPr/>
      </w:pPr>
      <w:r>
        <w:rPr/>
      </w:r>
    </w:p>
    <w:p>
      <w:pPr>
        <w:pStyle w:val="Normal"/>
        <w:rPr/>
      </w:pPr>
      <w:r>
        <w:rPr/>
      </w:r>
      <w:r>
        <w:br w:type="page"/>
      </w:r>
    </w:p>
    <w:p>
      <w:pPr>
        <w:pStyle w:val="Normal"/>
        <w:rPr/>
      </w:pPr>
      <w:r>
        <w:rPr/>
      </w:r>
    </w:p>
    <w:tbl>
      <w:tblPr>
        <w:tblW w:w="12528" w:type="dxa"/>
        <w:jc w:val="start"/>
        <w:tblInd w:w="0" w:type="dxa"/>
        <w:tblLayout w:type="fixed"/>
        <w:tblCellMar>
          <w:top w:w="0" w:type="dxa"/>
          <w:start w:w="108" w:type="dxa"/>
          <w:bottom w:w="0" w:type="dxa"/>
          <w:end w:w="108" w:type="dxa"/>
        </w:tblCellMar>
      </w:tblPr>
      <w:tblGrid>
        <w:gridCol w:w="2358"/>
        <w:gridCol w:w="3870"/>
        <w:gridCol w:w="2340"/>
        <w:gridCol w:w="2250"/>
        <w:gridCol w:w="1638"/>
        <w:gridCol w:w="72"/>
      </w:tblGrid>
      <w:tr>
        <w:trPr/>
        <w:tc>
          <w:tcPr>
            <w:tcW w:w="12456" w:type="dxa"/>
            <w:gridSpan w:val="5"/>
            <w:tcBorders>
              <w:bottom w:val="single" w:sz="4" w:space="0" w:color="000000"/>
            </w:tcBorders>
          </w:tcPr>
          <w:p>
            <w:pPr>
              <w:pStyle w:val="Heading1"/>
              <w:ind w:hanging="0" w:start="0"/>
              <w:rPr/>
            </w:pPr>
            <w:r>
              <w:rPr/>
              <w:t>ISSUE 1.</w:t>
            </w:r>
          </w:p>
          <w:p>
            <w:pPr>
              <w:pStyle w:val="Heading5"/>
              <w:ind w:hanging="0" w:start="0"/>
              <w:rPr>
                <w:color w:val="auto"/>
                <w:sz w:val="20"/>
              </w:rPr>
            </w:pPr>
            <w:r>
              <w:rPr>
                <w:color w:val="auto"/>
                <w:sz w:val="20"/>
              </w:rPr>
              <w:t>Transition to De-regulated market in 2001</w:t>
            </w:r>
          </w:p>
          <w:p>
            <w:pPr>
              <w:pStyle w:val="Normal"/>
              <w:rPr/>
            </w:pPr>
            <w:r>
              <w:rPr/>
              <w:t xml:space="preserve">Standard-Offer ends;  </w:t>
            </w:r>
            <w:r>
              <w:rPr>
                <w:b/>
                <w:color w:val="0000FF"/>
              </w:rPr>
              <w:t>EES is unhedged and pays market prices for energy in 2001</w:t>
            </w:r>
          </w:p>
        </w:tc>
        <w:tc>
          <w:tcPr>
            <w:tcW w:w="72" w:type="dxa"/>
            <w:tcBorders/>
            <w:tcMar>
              <w:start w:w="0" w:type="dxa"/>
              <w:end w:w="0" w:type="dxa"/>
            </w:tcMar>
          </w:tcPr>
          <w:p>
            <w:pPr>
              <w:pStyle w:val="Normal"/>
              <w:snapToGrid w:val="false"/>
              <w:rPr/>
            </w:pPr>
            <w:r>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b/>
              </w:rPr>
            </w:pPr>
            <w:r>
              <w:rPr>
                <w:b/>
              </w:rPr>
              <w:t>OUTCOME DETERMINED BY:</w:t>
            </w:r>
          </w:p>
        </w:tc>
        <w:tc>
          <w:tcPr>
            <w:tcW w:w="3870" w:type="dxa"/>
            <w:tcBorders>
              <w:top w:val="single" w:sz="4" w:space="0" w:color="000000"/>
              <w:start w:val="single" w:sz="4" w:space="0" w:color="000000"/>
              <w:bottom w:val="single" w:sz="4" w:space="0" w:color="000000"/>
              <w:end w:val="single" w:sz="4" w:space="0" w:color="000000"/>
            </w:tcBorders>
          </w:tcPr>
          <w:p>
            <w:pPr>
              <w:pStyle w:val="Normal"/>
              <w:rPr>
                <w:b/>
              </w:rPr>
            </w:pPr>
            <w:r>
              <w:rPr>
                <w:b/>
              </w:rPr>
              <w:t>INFLUENCING FACTORS</w:t>
            </w:r>
          </w:p>
        </w:tc>
        <w:tc>
          <w:tcPr>
            <w:tcW w:w="2340" w:type="dxa"/>
            <w:tcBorders>
              <w:top w:val="single" w:sz="4" w:space="0" w:color="000000"/>
              <w:start w:val="single" w:sz="4" w:space="0" w:color="000000"/>
              <w:bottom w:val="single" w:sz="4" w:space="0" w:color="000000"/>
              <w:end w:val="single" w:sz="4" w:space="0" w:color="000000"/>
            </w:tcBorders>
          </w:tcPr>
          <w:p>
            <w:pPr>
              <w:pStyle w:val="Normal"/>
              <w:rPr>
                <w:b/>
              </w:rPr>
            </w:pPr>
            <w:r>
              <w:rPr>
                <w:b/>
              </w:rPr>
              <w:t>LIKELIHOOD OF OUTCOME</w:t>
            </w:r>
          </w:p>
        </w:tc>
        <w:tc>
          <w:tcPr>
            <w:tcW w:w="2250" w:type="dxa"/>
            <w:tcBorders>
              <w:top w:val="single" w:sz="4" w:space="0" w:color="000000"/>
              <w:start w:val="single" w:sz="4" w:space="0" w:color="000000"/>
              <w:bottom w:val="single" w:sz="4" w:space="0" w:color="000000"/>
              <w:end w:val="single" w:sz="4" w:space="0" w:color="000000"/>
            </w:tcBorders>
          </w:tcPr>
          <w:p>
            <w:pPr>
              <w:pStyle w:val="Normal"/>
              <w:rPr>
                <w:b/>
              </w:rPr>
            </w:pPr>
            <w:r>
              <w:rPr>
                <w:b/>
              </w:rPr>
              <w:t>OPTION</w:t>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LIKELI-HOOD THAT OPTION WILL SUCCEED</w:t>
            </w:r>
          </w:p>
        </w:tc>
      </w:tr>
      <w:tr>
        <w:trPr/>
        <w:tc>
          <w:tcPr>
            <w:tcW w:w="2358" w:type="dxa"/>
            <w:vMerge w:val="restart"/>
            <w:tcBorders>
              <w:top w:val="single" w:sz="4" w:space="0" w:color="000000"/>
              <w:start w:val="single" w:sz="4" w:space="0" w:color="000000"/>
              <w:bottom w:val="single" w:sz="4" w:space="0" w:color="000000"/>
              <w:end w:val="single" w:sz="4" w:space="0" w:color="000000"/>
            </w:tcBorders>
          </w:tcPr>
          <w:p>
            <w:pPr>
              <w:pStyle w:val="BodyText"/>
              <w:rPr/>
            </w:pPr>
            <w:r>
              <w:rPr/>
              <w:t>CPUC decides transition period is over</w:t>
            </w:r>
          </w:p>
          <w:p>
            <w:pPr>
              <w:pStyle w:val="Normal"/>
              <w:rPr/>
            </w:pPr>
            <w:r>
              <w:rPr/>
              <w:t>(that TCBA is at 0)</w:t>
            </w:r>
          </w:p>
          <w:p>
            <w:pPr>
              <w:pStyle w:val="Normal"/>
              <w:rPr/>
            </w:pPr>
            <w:r>
              <w:rPr/>
            </w:r>
          </w:p>
          <w:p>
            <w:pPr>
              <w:pStyle w:val="Normal"/>
              <w:rPr/>
            </w:pPr>
            <w:r>
              <w:rPr/>
              <w:t>or is pressured by Legislature to end transition.</w:t>
            </w:r>
          </w:p>
          <w:p>
            <w:pPr>
              <w:pStyle w:val="Normal"/>
              <w:rPr/>
            </w:pPr>
            <w:r>
              <w:rPr/>
            </w:r>
          </w:p>
          <w:p>
            <w:pPr>
              <w:pStyle w:val="Normal"/>
              <w:rPr/>
            </w:pPr>
            <w:r>
              <w:rPr/>
            </w:r>
          </w:p>
          <w:p>
            <w:pPr>
              <w:pStyle w:val="Normal"/>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Heading4"/>
              <w:numPr>
                <w:ilvl w:val="0"/>
                <w:numId w:val="14"/>
              </w:numPr>
              <w:rPr>
                <w:sz w:val="20"/>
              </w:rPr>
            </w:pPr>
            <w:r>
              <w:rPr>
                <w:sz w:val="20"/>
              </w:rPr>
              <w:t>Plant Valuations are set low, AND</w:t>
            </w:r>
          </w:p>
          <w:p>
            <w:pPr>
              <w:pStyle w:val="Normal"/>
              <w:ind w:start="360" w:end="0"/>
              <w:rPr>
                <w:color w:val="0000FF"/>
              </w:rPr>
            </w:pPr>
            <w:r>
              <w:rPr>
                <w:color w:val="0000FF"/>
              </w:rPr>
              <w:t>Valuations are completed in 2001</w:t>
            </w:r>
          </w:p>
        </w:tc>
        <w:tc>
          <w:tcPr>
            <w:tcW w:w="2340" w:type="dxa"/>
            <w:tcBorders>
              <w:top w:val="single" w:sz="4" w:space="0" w:color="000000"/>
              <w:start w:val="single" w:sz="4" w:space="0" w:color="000000"/>
              <w:bottom w:val="single" w:sz="4" w:space="0" w:color="000000"/>
              <w:end w:val="single" w:sz="4" w:space="0" w:color="000000"/>
            </w:tcBorders>
          </w:tcPr>
          <w:p>
            <w:pPr>
              <w:pStyle w:val="Normal"/>
              <w:rPr>
                <w:color w:val="0000FF"/>
              </w:rPr>
            </w:pPr>
            <w:r>
              <w:rPr>
                <w:color w:val="0000FF"/>
              </w:rPr>
              <w:t>UNLIKELY</w:t>
            </w:r>
          </w:p>
          <w:p>
            <w:pPr>
              <w:pStyle w:val="Normal"/>
              <w:rPr/>
            </w:pPr>
            <w:r>
              <w:rPr>
                <w:color w:val="0000FF"/>
              </w:rPr>
              <w:t>Unlilkely that valuations will be completed in 2001</w:t>
            </w:r>
            <w:r>
              <w:rPr/>
              <w:t>.</w:t>
            </w:r>
          </w:p>
          <w:p>
            <w:pPr>
              <w:pStyle w:val="Normal"/>
              <w:rPr/>
            </w:pPr>
            <w:r>
              <w:rPr/>
              <w:t>Projected Completion:</w:t>
            </w:r>
          </w:p>
          <w:p>
            <w:pPr>
              <w:pStyle w:val="Normal"/>
              <w:rPr/>
            </w:pPr>
            <w:r>
              <w:rPr/>
              <w:t>Hydro – May 2001</w:t>
            </w:r>
          </w:p>
          <w:p>
            <w:pPr>
              <w:pStyle w:val="Normal"/>
              <w:rPr/>
            </w:pPr>
            <w:r>
              <w:rPr/>
              <w:t>Nuclear – not started</w:t>
            </w:r>
          </w:p>
          <w:p>
            <w:pPr>
              <w:pStyle w:val="Normal"/>
              <w:rPr/>
            </w:pPr>
            <w:r>
              <w:rPr/>
              <w:t xml:space="preserve">QF’s – not started </w:t>
            </w:r>
          </w:p>
        </w:tc>
        <w:tc>
          <w:tcPr>
            <w:tcW w:w="225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color w:val="0000FF"/>
              </w:rPr>
              <w:t>No change.</w:t>
            </w:r>
          </w:p>
          <w:p>
            <w:pPr>
              <w:pStyle w:val="Normal"/>
              <w:numPr>
                <w:ilvl w:val="0"/>
                <w:numId w:val="4"/>
              </w:numPr>
              <w:rPr/>
            </w:pPr>
            <w:r>
              <w:rPr>
                <w:color w:val="0000FF"/>
              </w:rPr>
              <w:t>Continue to review valuation processes to ensure fair share of benefits accrue to ratepayers</w:t>
            </w:r>
            <w:r>
              <w:rPr/>
              <w:t>.</w:t>
            </w:r>
          </w:p>
          <w:p>
            <w:pPr>
              <w:pStyle w:val="Normal"/>
              <w:ind w:start="405" w:end="0"/>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rPr/>
            </w:pPr>
            <w:r>
              <w:rPr/>
              <w:t>N/A</w:t>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t>CPUC changes rules determining end of transition,</w:t>
            </w:r>
          </w:p>
          <w:p>
            <w:pPr>
              <w:pStyle w:val="BodyTextIndent"/>
              <w:rPr/>
            </w:pPr>
            <w:r>
              <w:rPr/>
              <w:t>e.g. re-define “stranded costs”, create deferral account.</w:t>
            </w:r>
          </w:p>
          <w:p>
            <w:pPr>
              <w:pStyle w:val="Normal"/>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UNLIKELY</w:t>
            </w:r>
          </w:p>
          <w:p>
            <w:pPr>
              <w:pStyle w:val="Normal"/>
              <w:rPr/>
            </w:pPr>
            <w:r>
              <w:rPr/>
              <w:t>There is not enough time to alow a substantive change to be decided in 2001.</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t>IOU’s pressure CPUC to move to de-reg</w:t>
            </w:r>
          </w:p>
          <w:p>
            <w:pPr>
              <w:pStyle w:val="Normal"/>
              <w:numPr>
                <w:ilvl w:val="0"/>
                <w:numId w:val="17"/>
              </w:numPr>
              <w:rPr/>
            </w:pPr>
            <w:r>
              <w:rPr/>
              <w:t>claiming a cash short-fall</w:t>
            </w:r>
          </w:p>
          <w:p>
            <w:pPr>
              <w:pStyle w:val="Normal"/>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 xml:space="preserve"> </w:t>
            </w:r>
            <w:r>
              <w:rPr/>
              <w:t>(see Issue #2)</w:t>
            </w:r>
          </w:p>
          <w:p>
            <w:pPr>
              <w:pStyle w:val="Normal"/>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t>IOU’s pressure CPUC to move to de-reg</w:t>
            </w:r>
          </w:p>
          <w:p>
            <w:pPr>
              <w:pStyle w:val="BodyTextIndent"/>
              <w:rPr/>
            </w:pPr>
            <w:r>
              <w:rPr/>
              <w:t>Because they want to enter open market:</w:t>
            </w:r>
          </w:p>
          <w:p>
            <w:pPr>
              <w:pStyle w:val="Normal"/>
              <w:numPr>
                <w:ilvl w:val="0"/>
                <w:numId w:val="12"/>
              </w:numPr>
              <w:ind w:hanging="360" w:start="720" w:end="0"/>
              <w:rPr/>
            </w:pPr>
            <w:r>
              <w:rPr/>
              <w:t>Want to stop selling energy below market prices</w:t>
            </w:r>
          </w:p>
          <w:p>
            <w:pPr>
              <w:pStyle w:val="Normal"/>
              <w:numPr>
                <w:ilvl w:val="0"/>
                <w:numId w:val="12"/>
              </w:numPr>
              <w:ind w:hanging="360" w:start="720" w:end="0"/>
              <w:rPr/>
            </w:pPr>
            <w:r>
              <w:rPr/>
              <w:t>Want to procure energy efficiently, once customer base is known.</w:t>
            </w:r>
          </w:p>
          <w:p>
            <w:pPr>
              <w:pStyle w:val="Normal"/>
              <w:ind w:start="45" w:end="0"/>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UNLIKELY</w:t>
            </w:r>
          </w:p>
          <w:p>
            <w:pPr>
              <w:pStyle w:val="Normal"/>
              <w:rPr/>
            </w:pPr>
            <w:r>
              <w:rPr/>
              <w:t xml:space="preserve">CPUC unlikely allow move to open market with prospect of high prices. </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Heading6"/>
              <w:ind w:hanging="0" w:start="0"/>
              <w:rPr/>
            </w:pPr>
            <w:r>
              <w:rPr/>
              <w:t>NEGATING FACTORS</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rPr/>
            </w:pPr>
            <w:r>
              <w:rPr>
                <w:color w:val="0000FF"/>
              </w:rPr>
              <w:t>Legislature does not want CPUC to open market</w:t>
            </w:r>
            <w:r>
              <w:rPr/>
              <w:t xml:space="preserve"> to competition at this time.</w:t>
            </w:r>
          </w:p>
          <w:p>
            <w:pPr>
              <w:pStyle w:val="Normal"/>
              <w:numPr>
                <w:ilvl w:val="0"/>
                <w:numId w:val="16"/>
              </w:numPr>
              <w:ind w:hanging="360" w:start="720" w:end="0"/>
              <w:rPr/>
            </w:pPr>
            <w:r>
              <w:rPr/>
              <w:t>Believes “gaming” is taking place.</w:t>
            </w:r>
          </w:p>
          <w:p>
            <w:pPr>
              <w:pStyle w:val="Normal"/>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EXTREMELY UNLIKELY</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clear" w:pos="720"/>
                <w:tab w:val="left" w:pos="405" w:leader="none"/>
              </w:tabs>
              <w:ind w:hanging="360" w:start="405" w:end="0"/>
              <w:rPr/>
            </w:pPr>
            <w:r>
              <w:rPr/>
              <w:t>Voters do not want de-regulation unless lower prices are guaranteed</w:t>
            </w:r>
          </w:p>
          <w:p>
            <w:pPr>
              <w:pStyle w:val="Normal"/>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pPr>
            <w:r>
              <w:rPr/>
              <w:t>EXTREMELY UNLIKELY</w:t>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WILD CARDS</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23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3870" w:type="dxa"/>
            <w:tcBorders>
              <w:top w:val="single" w:sz="4" w:space="0" w:color="000000"/>
              <w:start w:val="single" w:sz="4" w:space="0" w:color="000000"/>
              <w:bottom w:val="single" w:sz="4" w:space="0" w:color="000000"/>
              <w:end w:val="single" w:sz="4" w:space="0" w:color="000000"/>
            </w:tcBorders>
          </w:tcPr>
          <w:p>
            <w:pPr>
              <w:pStyle w:val="Normal"/>
              <w:numPr>
                <w:ilvl w:val="0"/>
                <w:numId w:val="14"/>
              </w:numPr>
              <w:tabs>
                <w:tab w:val="clear" w:pos="720"/>
                <w:tab w:val="left" w:pos="405" w:leader="none"/>
              </w:tabs>
              <w:ind w:hanging="360" w:start="405" w:end="0"/>
              <w:rPr/>
            </w:pPr>
            <w:r>
              <w:rPr/>
              <w:t>Industrial customers want choice, but do not want to pay higher prices.</w:t>
            </w:r>
          </w:p>
          <w:p>
            <w:pPr>
              <w:pStyle w:val="Normal"/>
              <w:rPr/>
            </w:pPr>
            <w:r>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25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1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br w:type="page"/>
      </w:r>
      <w:r>
        <w:rPr/>
      </w:r>
    </w:p>
    <w:tbl>
      <w:tblPr>
        <w:tblW w:w="13175" w:type="dxa"/>
        <w:jc w:val="start"/>
        <w:tblInd w:w="0" w:type="dxa"/>
        <w:tblLayout w:type="fixed"/>
        <w:tblCellMar>
          <w:top w:w="0" w:type="dxa"/>
          <w:start w:w="108" w:type="dxa"/>
          <w:bottom w:w="0" w:type="dxa"/>
          <w:end w:w="108" w:type="dxa"/>
        </w:tblCellMar>
      </w:tblPr>
      <w:tblGrid>
        <w:gridCol w:w="2448"/>
        <w:gridCol w:w="3780"/>
        <w:gridCol w:w="2430"/>
        <w:gridCol w:w="2700"/>
        <w:gridCol w:w="1350"/>
        <w:gridCol w:w="467"/>
      </w:tblGrid>
      <w:tr>
        <w:trPr/>
        <w:tc>
          <w:tcPr>
            <w:tcW w:w="12708" w:type="dxa"/>
            <w:gridSpan w:val="5"/>
            <w:tcBorders>
              <w:bottom w:val="single" w:sz="4" w:space="0" w:color="000000"/>
            </w:tcBorders>
          </w:tcPr>
          <w:p>
            <w:pPr>
              <w:pStyle w:val="Heading1"/>
              <w:ind w:hanging="0" w:start="0"/>
              <w:rPr>
                <w:sz w:val="24"/>
              </w:rPr>
            </w:pPr>
            <w:r>
              <w:rPr>
                <w:sz w:val="24"/>
              </w:rPr>
              <w:t>ISSUE 2.</w:t>
            </w:r>
          </w:p>
          <w:p>
            <w:pPr>
              <w:pStyle w:val="Heading5"/>
              <w:ind w:hanging="0" w:start="0"/>
              <w:rPr>
                <w:color w:val="auto"/>
              </w:rPr>
            </w:pPr>
            <w:r>
              <w:rPr>
                <w:color w:val="auto"/>
              </w:rPr>
              <w:t>Frozen rate levels do not cover incremental costs, creating cash-flow issues for PG&amp;E and SCE</w:t>
            </w:r>
          </w:p>
          <w:p>
            <w:pPr>
              <w:pStyle w:val="Heading1"/>
              <w:ind w:hanging="0" w:start="0"/>
              <w:rPr>
                <w:color w:val="0000FF"/>
                <w:sz w:val="24"/>
              </w:rPr>
            </w:pPr>
            <w:r>
              <w:rPr>
                <w:color w:val="0000FF"/>
                <w:sz w:val="24"/>
              </w:rPr>
              <w:t xml:space="preserve"> </w:t>
            </w:r>
            <w:r>
              <w:rPr>
                <w:color w:val="0000FF"/>
                <w:sz w:val="24"/>
              </w:rPr>
              <w:t>=&gt; Potential rate increase in 2001</w:t>
            </w:r>
          </w:p>
          <w:p>
            <w:pPr>
              <w:pStyle w:val="Normal"/>
              <w:rPr>
                <w:sz w:val="24"/>
              </w:rPr>
            </w:pPr>
            <w:r>
              <w:rPr>
                <w:sz w:val="24"/>
              </w:rPr>
              <w:t xml:space="preserve"> </w:t>
            </w:r>
          </w:p>
        </w:tc>
        <w:tc>
          <w:tcPr>
            <w:tcW w:w="467" w:type="dxa"/>
            <w:tcBorders/>
            <w:tcMar>
              <w:start w:w="0" w:type="dxa"/>
              <w:end w:w="0" w:type="dxa"/>
            </w:tcMar>
          </w:tcPr>
          <w:p>
            <w:pPr>
              <w:pStyle w:val="Normal"/>
              <w:snapToGrid w:val="false"/>
              <w:rPr>
                <w:sz w:val="24"/>
              </w:rPr>
            </w:pPr>
            <w:r>
              <w:rPr>
                <w:sz w:val="24"/>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b/>
              </w:rPr>
            </w:pPr>
            <w:r>
              <w:rPr>
                <w:b/>
              </w:rPr>
              <w:t>OUTCOME DETERMINED BY:</w:t>
            </w:r>
          </w:p>
        </w:tc>
        <w:tc>
          <w:tcPr>
            <w:tcW w:w="378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INFLUENCING FACTORS</w:t>
            </w:r>
          </w:p>
        </w:tc>
        <w:tc>
          <w:tcPr>
            <w:tcW w:w="2430" w:type="dxa"/>
            <w:tcBorders>
              <w:top w:val="single" w:sz="4" w:space="0" w:color="000000"/>
              <w:start w:val="single" w:sz="4" w:space="0" w:color="000000"/>
              <w:bottom w:val="single" w:sz="4" w:space="0" w:color="000000"/>
              <w:end w:val="single" w:sz="4" w:space="0" w:color="000000"/>
            </w:tcBorders>
          </w:tcPr>
          <w:p>
            <w:pPr>
              <w:pStyle w:val="Normal"/>
              <w:rPr>
                <w:b/>
              </w:rPr>
            </w:pPr>
            <w:r>
              <w:rPr>
                <w:b/>
              </w:rPr>
              <w:t>LIKELIHOOD OF OUTCOME</w:t>
            </w:r>
          </w:p>
        </w:tc>
        <w:tc>
          <w:tcPr>
            <w:tcW w:w="2700" w:type="dxa"/>
            <w:tcBorders>
              <w:top w:val="single" w:sz="4" w:space="0" w:color="000000"/>
              <w:start w:val="single" w:sz="4" w:space="0" w:color="000000"/>
              <w:bottom w:val="single" w:sz="4" w:space="0" w:color="000000"/>
              <w:end w:val="single" w:sz="4" w:space="0" w:color="000000"/>
            </w:tcBorders>
          </w:tcPr>
          <w:p>
            <w:pPr>
              <w:pStyle w:val="Normal"/>
              <w:rPr>
                <w:b/>
              </w:rPr>
            </w:pPr>
            <w:r>
              <w:rPr>
                <w:b/>
              </w:rPr>
              <w:t>OPTION</w:t>
            </w:r>
          </w:p>
        </w:tc>
        <w:tc>
          <w:tcPr>
            <w:tcW w:w="1817"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LIKELIHOOD THAT OPTION WILL SUCCEED</w:t>
            </w:r>
          </w:p>
        </w:tc>
      </w:tr>
      <w:tr>
        <w:trPr/>
        <w:tc>
          <w:tcPr>
            <w:tcW w:w="2448" w:type="dxa"/>
            <w:tcBorders>
              <w:top w:val="single" w:sz="4" w:space="0" w:color="000000"/>
              <w:start w:val="single" w:sz="4" w:space="0" w:color="000000"/>
              <w:bottom w:val="single" w:sz="4" w:space="0" w:color="000000"/>
              <w:end w:val="single" w:sz="4" w:space="0" w:color="000000"/>
            </w:tcBorders>
          </w:tcPr>
          <w:p>
            <w:pPr>
              <w:pStyle w:val="BodyText"/>
              <w:rPr/>
            </w:pPr>
            <w:r>
              <w:rPr/>
              <w:t>CPUC allows some form of rate increase for IOU’s</w:t>
            </w:r>
          </w:p>
          <w:p>
            <w:pPr>
              <w:pStyle w:val="Normal"/>
              <w:rPr/>
            </w:pPr>
            <w:r>
              <w:rPr/>
            </w:r>
          </w:p>
        </w:tc>
        <w:tc>
          <w:tcPr>
            <w:tcW w:w="378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IOU’s convince CPUC of reality of cash short-fall</w:t>
            </w:r>
          </w:p>
          <w:p>
            <w:pPr>
              <w:pStyle w:val="Heading4"/>
              <w:ind w:hanging="0" w:start="0"/>
              <w:rPr>
                <w:sz w:val="20"/>
              </w:rPr>
            </w:pPr>
            <w:r>
              <w:rPr>
                <w:sz w:val="20"/>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HIGH</w:t>
            </w:r>
          </w:p>
        </w:tc>
        <w:tc>
          <w:tcPr>
            <w:tcW w:w="2700" w:type="dxa"/>
            <w:tcBorders>
              <w:top w:val="single" w:sz="4" w:space="0" w:color="000000"/>
              <w:start w:val="single" w:sz="4" w:space="0" w:color="000000"/>
              <w:bottom w:val="single" w:sz="4" w:space="0" w:color="000000"/>
              <w:end w:val="single" w:sz="4" w:space="0" w:color="000000"/>
            </w:tcBorders>
          </w:tcPr>
          <w:p>
            <w:pPr>
              <w:pStyle w:val="Normal"/>
              <w:numPr>
                <w:ilvl w:val="0"/>
                <w:numId w:val="9"/>
              </w:numPr>
              <w:ind w:hanging="360" w:start="405" w:end="0"/>
              <w:rPr/>
            </w:pPr>
            <w:r>
              <w:rPr/>
              <w:t>Ensure that IOU claims to cash flow shortage are not inflated.</w:t>
            </w:r>
          </w:p>
          <w:p>
            <w:pPr>
              <w:pStyle w:val="Normal"/>
              <w:ind w:start="45" w:end="0"/>
              <w:rPr/>
            </w:pPr>
            <w:r>
              <w:rPr/>
            </w:r>
          </w:p>
        </w:tc>
        <w:tc>
          <w:tcPr>
            <w:tcW w:w="1817" w:type="dxa"/>
            <w:gridSpan w:val="2"/>
            <w:tcBorders>
              <w:top w:val="single" w:sz="4" w:space="0" w:color="000000"/>
              <w:start w:val="single" w:sz="4" w:space="0" w:color="000000"/>
              <w:bottom w:val="single" w:sz="4" w:space="0" w:color="000000"/>
              <w:end w:val="single" w:sz="4" w:space="0" w:color="000000"/>
            </w:tcBorders>
          </w:tcPr>
          <w:p>
            <w:pPr>
              <w:pStyle w:val="Normal"/>
              <w:rPr/>
            </w:pPr>
            <w:r>
              <w:rPr/>
              <w:t>HIGH</w:t>
            </w:r>
          </w:p>
          <w:p>
            <w:pPr>
              <w:pStyle w:val="Normal"/>
              <w:rPr/>
            </w:pPr>
            <w:r>
              <w:rPr/>
              <w:t>(current mechanisms for fair hearing exist)</w:t>
            </w:r>
          </w:p>
          <w:p>
            <w:pPr>
              <w:pStyle w:val="Normal"/>
              <w:rPr/>
            </w:pPr>
            <w:r>
              <w:rPr/>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c>
          <w:tcPr>
            <w:tcW w:w="378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color w:val="0000FF"/>
              </w:rPr>
            </w:pPr>
            <w:r>
              <w:rPr>
                <w:color w:val="0000FF"/>
              </w:rPr>
              <w:t>Legislature allows/asks CPUC to implement some increase</w:t>
            </w:r>
          </w:p>
          <w:p>
            <w:pPr>
              <w:pStyle w:val="BodyTextIndent"/>
              <w:rPr/>
            </w:pPr>
            <w:r>
              <w:rPr/>
              <w:t>[Question:  Is Legislature intervention necessary?  May be necessary to obtain an increase quickly.</w:t>
            </w:r>
          </w:p>
          <w:p>
            <w:pPr>
              <w:pStyle w:val="Normal"/>
              <w:ind w:start="360" w:end="0"/>
              <w:rPr/>
            </w:pPr>
            <w:r>
              <w:rPr/>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HIGH</w:t>
            </w:r>
          </w:p>
          <w:p>
            <w:pPr>
              <w:pStyle w:val="Normal"/>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pPr>
            <w:r>
              <w:rPr/>
              <w:t xml:space="preserve">Lobby Legislature as to </w:t>
            </w:r>
            <w:r>
              <w:rPr>
                <w:color w:val="0000FF"/>
              </w:rPr>
              <w:t>timing</w:t>
            </w:r>
            <w:r>
              <w:rPr/>
              <w:t xml:space="preserve"> of any increase</w:t>
            </w:r>
          </w:p>
        </w:tc>
        <w:tc>
          <w:tcPr>
            <w:tcW w:w="1817" w:type="dxa"/>
            <w:gridSpan w:val="2"/>
            <w:tcBorders>
              <w:top w:val="single" w:sz="4" w:space="0" w:color="000000"/>
              <w:start w:val="single" w:sz="4" w:space="0" w:color="000000"/>
              <w:bottom w:val="single" w:sz="4" w:space="0" w:color="000000"/>
              <w:end w:val="single" w:sz="4" w:space="0" w:color="000000"/>
            </w:tcBorders>
          </w:tcPr>
          <w:p>
            <w:pPr>
              <w:pStyle w:val="Normal"/>
              <w:rPr/>
            </w:pPr>
            <w:r>
              <w:rPr/>
              <w:t>LOW</w:t>
            </w:r>
          </w:p>
          <w:p>
            <w:pPr>
              <w:pStyle w:val="Normal"/>
              <w:rPr/>
            </w:pPr>
            <w:r>
              <w:rPr/>
              <w:t>(depends on our “pull”)</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p>
            <w:pPr>
              <w:pStyle w:val="Normal"/>
              <w:rPr/>
            </w:pPr>
            <w:r>
              <w:rPr/>
            </w:r>
          </w:p>
          <w:p>
            <w:pPr>
              <w:pStyle w:val="Normal"/>
              <w:rPr/>
            </w:pPr>
            <w:r>
              <w:rPr/>
            </w:r>
          </w:p>
        </w:tc>
        <w:tc>
          <w:tcPr>
            <w:tcW w:w="378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pPr>
            <w:r>
              <w:rPr/>
              <w:t>Stakeholders present an easy-out for the CPUC that is a “win-win” for all stakeholders.</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MEDIUM</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color w:val="0000FF"/>
              </w:rPr>
              <w:t>Develop an EES-friendly rate mitigation plan</w:t>
            </w:r>
            <w:r>
              <w:rPr/>
              <w:t xml:space="preserve">.  Plan may include a combination of </w:t>
            </w:r>
          </w:p>
          <w:p>
            <w:pPr>
              <w:pStyle w:val="Normal"/>
              <w:numPr>
                <w:ilvl w:val="0"/>
                <w:numId w:val="15"/>
              </w:numPr>
              <w:rPr/>
            </w:pPr>
            <w:r>
              <w:rPr/>
              <w:t>Loan from the State</w:t>
            </w:r>
          </w:p>
          <w:p>
            <w:pPr>
              <w:pStyle w:val="Normal"/>
              <w:numPr>
                <w:ilvl w:val="0"/>
                <w:numId w:val="15"/>
              </w:numPr>
              <w:rPr/>
            </w:pPr>
            <w:r>
              <w:rPr/>
              <w:t>Loan guarantee from the State</w:t>
            </w:r>
          </w:p>
          <w:p>
            <w:pPr>
              <w:pStyle w:val="Normal"/>
              <w:numPr>
                <w:ilvl w:val="0"/>
                <w:numId w:val="15"/>
              </w:numPr>
              <w:rPr/>
            </w:pPr>
            <w:r>
              <w:rPr/>
              <w:t xml:space="preserve">Deferral account, with interest payments only to be recovered from temporary rate rider. </w:t>
            </w:r>
          </w:p>
          <w:p>
            <w:pPr>
              <w:pStyle w:val="Normal"/>
              <w:rPr/>
            </w:pPr>
            <w:r>
              <w:rPr/>
            </w:r>
          </w:p>
          <w:p>
            <w:pPr>
              <w:pStyle w:val="Normal"/>
              <w:rPr/>
            </w:pPr>
            <w:r>
              <w:rPr/>
              <w:t>NOTE:</w:t>
            </w:r>
          </w:p>
          <w:p>
            <w:pPr>
              <w:pStyle w:val="Normal"/>
              <w:rPr/>
            </w:pPr>
            <w:r>
              <w:rPr/>
              <w:t>Plan should NOT depend on modifying existing regulatory proceedings, e.g. valuation of plants, – this will reduce the likelihood of success considerably.</w:t>
            </w:r>
          </w:p>
        </w:tc>
        <w:tc>
          <w:tcPr>
            <w:tcW w:w="1817" w:type="dxa"/>
            <w:gridSpan w:val="2"/>
            <w:tcBorders>
              <w:top w:val="single" w:sz="4" w:space="0" w:color="000000"/>
              <w:start w:val="single" w:sz="4" w:space="0" w:color="000000"/>
              <w:bottom w:val="single" w:sz="4" w:space="0" w:color="000000"/>
              <w:end w:val="single" w:sz="4" w:space="0" w:color="000000"/>
            </w:tcBorders>
          </w:tcPr>
          <w:p>
            <w:pPr>
              <w:pStyle w:val="Normal"/>
              <w:rPr/>
            </w:pPr>
            <w:r>
              <w:rPr/>
              <w:t>MEDIUM</w:t>
            </w:r>
          </w:p>
          <w:p>
            <w:pPr>
              <w:pStyle w:val="Normal"/>
              <w:rPr/>
            </w:pPr>
            <w:r>
              <w:rPr/>
              <w:t>A win-win plan will likely be grabbed by a desparate CPUC.</w:t>
            </w:r>
          </w:p>
          <w:p>
            <w:pPr>
              <w:pStyle w:val="Normal"/>
              <w:rPr/>
            </w:pPr>
            <w:r>
              <w:rPr/>
            </w:r>
          </w:p>
          <w:p>
            <w:pPr>
              <w:pStyle w:val="Normal"/>
              <w:rPr/>
            </w:pPr>
            <w:r>
              <w:rPr/>
              <w:t>Especially if it is low-cost for consumers and does not commit them to anything long-term.</w:t>
            </w:r>
          </w:p>
        </w:tc>
      </w:tr>
    </w:tbl>
    <w:p>
      <w:pPr>
        <w:pStyle w:val="Normal"/>
        <w:rPr/>
      </w:pPr>
      <w:r>
        <w:rPr/>
      </w:r>
      <w:r>
        <w:br w:type="page"/>
      </w:r>
    </w:p>
    <w:p>
      <w:pPr>
        <w:pStyle w:val="Normal"/>
        <w:rPr/>
      </w:pPr>
      <w:r>
        <w:rPr/>
      </w:r>
    </w:p>
    <w:p>
      <w:pPr>
        <w:pStyle w:val="Heading1"/>
        <w:ind w:hanging="0" w:start="0"/>
        <w:rPr>
          <w:sz w:val="24"/>
        </w:rPr>
      </w:pPr>
      <w:r>
        <w:rPr>
          <w:sz w:val="24"/>
        </w:rPr>
        <w:t>ISSUE 3.</w:t>
      </w:r>
    </w:p>
    <w:p>
      <w:pPr>
        <w:pStyle w:val="Heading3"/>
        <w:ind w:hanging="0" w:start="0"/>
        <w:rPr/>
      </w:pPr>
      <w:r>
        <w:rPr/>
        <w:t>Current situation unpopular:  Imminent move to de-regulated market is unpopular</w:t>
      </w:r>
    </w:p>
    <w:p>
      <w:pPr>
        <w:pStyle w:val="Heading4"/>
        <w:ind w:hanging="0" w:start="0"/>
        <w:rPr/>
      </w:pPr>
      <w:r>
        <w:rPr/>
        <w:t xml:space="preserve">=&gt; </w:t>
      </w:r>
      <w:r>
        <w:rPr>
          <w:b/>
        </w:rPr>
        <w:t>CPUC may make rash decision in short-term</w:t>
      </w:r>
    </w:p>
    <w:p>
      <w:pPr>
        <w:pStyle w:val="Normal"/>
        <w:rPr>
          <w:b/>
          <w:sz w:val="24"/>
        </w:rPr>
      </w:pPr>
      <w:r>
        <w:rPr>
          <w:b/>
          <w:sz w:val="24"/>
        </w:rPr>
      </w:r>
    </w:p>
    <w:p>
      <w:pPr>
        <w:pStyle w:val="BodyText2"/>
        <w:rPr/>
      </w:pPr>
      <w:r>
        <w:rPr/>
        <w:t>The public and legislature see themselves in the “Existing Situation”, facing extremely high costs.  They remember the regulated situation, below, which provided them with stability and relataively low cost electricity.  The Legislature is likely to take steps to get back to “Regulated”.  However, because “market forces” are at work all around California, they cannot go back and should be made aware of this, as should all customer groups.  It is the allowance of market forces into the electricity market that will allow EES to procure deals.</w:t>
      </w:r>
    </w:p>
    <w:p>
      <w:pPr>
        <w:pStyle w:val="Normal"/>
        <w:rPr>
          <w:sz w:val="24"/>
        </w:rPr>
      </w:pPr>
      <w:r>
        <w:rPr>
          <w:sz w:val="24"/>
        </w:rPr>
      </w:r>
    </w:p>
    <w:p>
      <w:pPr>
        <w:pStyle w:val="Normal"/>
        <w:rPr/>
      </w:pPr>
      <w:r>
        <w:rPr/>
        <w:t>We should act to:</w:t>
      </w:r>
    </w:p>
    <w:tbl>
      <w:tblPr>
        <w:tblW w:w="13752" w:type="dxa"/>
        <w:jc w:val="start"/>
        <w:tblInd w:w="0" w:type="dxa"/>
        <w:tblLayout w:type="fixed"/>
        <w:tblCellMar>
          <w:top w:w="0" w:type="dxa"/>
          <w:start w:w="108" w:type="dxa"/>
          <w:bottom w:w="0" w:type="dxa"/>
          <w:end w:w="108" w:type="dxa"/>
        </w:tblCellMar>
      </w:tblPr>
      <w:tblGrid>
        <w:gridCol w:w="5148"/>
        <w:gridCol w:w="8604"/>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rPr>
                <w:b/>
              </w:rPr>
            </w:pPr>
            <w:r>
              <w:rPr>
                <w:b/>
              </w:rPr>
              <w:t>GOAL</w:t>
            </w:r>
          </w:p>
        </w:tc>
        <w:tc>
          <w:tcPr>
            <w:tcW w:w="8604" w:type="dxa"/>
            <w:tcBorders>
              <w:top w:val="single" w:sz="4" w:space="0" w:color="000000"/>
              <w:start w:val="single" w:sz="4" w:space="0" w:color="000000"/>
              <w:bottom w:val="single" w:sz="4" w:space="0" w:color="000000"/>
              <w:end w:val="single" w:sz="4" w:space="0" w:color="000000"/>
            </w:tcBorders>
          </w:tcPr>
          <w:p>
            <w:pPr>
              <w:pStyle w:val="Normal"/>
              <w:rPr>
                <w:b/>
              </w:rPr>
            </w:pPr>
            <w:r>
              <w:rPr>
                <w:b/>
              </w:rPr>
              <w:t>RECOMMENDED ACTION</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color w:val="FF0000"/>
              </w:rPr>
            </w:pPr>
            <w:r>
              <w:rPr>
                <w:color w:val="FF0000"/>
              </w:rPr>
              <w:t xml:space="preserve">Dissuade return to regulation </w:t>
            </w:r>
          </w:p>
          <w:p>
            <w:pPr>
              <w:pStyle w:val="Normal"/>
              <w:rPr/>
            </w:pPr>
            <w:r>
              <w:rPr/>
              <w:t>or use of other regulatory impediments to the market</w:t>
            </w:r>
          </w:p>
        </w:tc>
        <w:tc>
          <w:tcPr>
            <w:tcW w:w="8604"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Lobby stakeholders, showing impossibility of complete return to deregulation; present de-regulation as best, low-cost, stable solution.</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Ensure CPUC approves the most attractive generation </w:t>
            </w:r>
            <w:r>
              <w:rPr>
                <w:color w:val="FF0000"/>
              </w:rPr>
              <w:t>benefit-sharing</w:t>
            </w:r>
            <w:r>
              <w:rPr/>
              <w:t xml:space="preserve"> solution.</w:t>
            </w:r>
          </w:p>
        </w:tc>
        <w:tc>
          <w:tcPr>
            <w:tcW w:w="8604"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 xml:space="preserve">Continue to participate in current </w:t>
            </w:r>
            <w:r>
              <w:rPr>
                <w:color w:val="FF0000"/>
              </w:rPr>
              <w:t>valuation</w:t>
            </w:r>
            <w:r>
              <w:rPr/>
              <w:t xml:space="preserve"> proceedings.</w:t>
            </w:r>
          </w:p>
          <w:p>
            <w:pPr>
              <w:pStyle w:val="Normal"/>
              <w:numPr>
                <w:ilvl w:val="0"/>
                <w:numId w:val="10"/>
              </w:numPr>
              <w:rPr/>
            </w:pPr>
            <w:r>
              <w:rPr/>
              <w:t xml:space="preserve">Ensure benefit-sharing </w:t>
            </w:r>
            <w:r>
              <w:rPr>
                <w:color w:val="FF0000"/>
              </w:rPr>
              <w:t>mechanisms are defined</w:t>
            </w:r>
            <w:r>
              <w:rPr/>
              <w:t>.</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rPr/>
            </w:pPr>
            <w:r>
              <w:rPr/>
              <w:t xml:space="preserve">Ensure orderly and speedy </w:t>
            </w:r>
            <w:r>
              <w:rPr>
                <w:color w:val="FF0000"/>
              </w:rPr>
              <w:t>transition to deregulation</w:t>
            </w:r>
          </w:p>
        </w:tc>
        <w:tc>
          <w:tcPr>
            <w:tcW w:w="8604" w:type="dxa"/>
            <w:tcBorders>
              <w:top w:val="single" w:sz="4" w:space="0" w:color="000000"/>
              <w:start w:val="single" w:sz="4" w:space="0" w:color="000000"/>
              <w:bottom w:val="single" w:sz="4" w:space="0" w:color="000000"/>
              <w:end w:val="single" w:sz="4" w:space="0" w:color="000000"/>
            </w:tcBorders>
          </w:tcPr>
          <w:p>
            <w:pPr>
              <w:pStyle w:val="Normal"/>
              <w:numPr>
                <w:ilvl w:val="0"/>
                <w:numId w:val="10"/>
              </w:numPr>
              <w:rPr/>
            </w:pPr>
            <w:r>
              <w:rPr/>
              <w:t>Develop and present transition plan to stakeholders</w:t>
            </w:r>
          </w:p>
          <w:p>
            <w:pPr>
              <w:pStyle w:val="Normal"/>
              <w:numPr>
                <w:ilvl w:val="0"/>
                <w:numId w:val="10"/>
              </w:numPr>
              <w:ind w:hanging="360" w:start="720" w:end="0"/>
              <w:rPr/>
            </w:pPr>
            <w:r>
              <w:rPr/>
              <w:t>Plan must address current $$$$ shortfall (ISSUE #2)</w:t>
            </w:r>
          </w:p>
          <w:p>
            <w:pPr>
              <w:pStyle w:val="Normal"/>
              <w:numPr>
                <w:ilvl w:val="0"/>
                <w:numId w:val="10"/>
              </w:numPr>
              <w:ind w:hanging="360" w:start="720" w:end="0"/>
              <w:rPr/>
            </w:pPr>
            <w:r>
              <w:rPr/>
              <w:t xml:space="preserve">Plan should show importance of </w:t>
            </w:r>
            <w:r>
              <w:rPr>
                <w:color w:val="FF0000"/>
              </w:rPr>
              <w:t>separation of Wires and Retailer</w:t>
            </w:r>
            <w:r>
              <w:rPr/>
              <w:t xml:space="preserve"> in obtaining low cost</w:t>
            </w:r>
          </w:p>
        </w:tc>
      </w:tr>
    </w:tbl>
    <w:p>
      <w:pPr>
        <w:pStyle w:val="Normal"/>
        <w:rPr/>
      </w:pPr>
      <w:r>
        <w:rPr/>
      </w:r>
    </w:p>
    <w:tbl>
      <w:tblPr>
        <w:tblW w:w="13066" w:type="dxa"/>
        <w:jc w:val="start"/>
        <w:tblInd w:w="0" w:type="dxa"/>
        <w:tblLayout w:type="fixed"/>
        <w:tblCellMar>
          <w:top w:w="0" w:type="dxa"/>
          <w:start w:w="108" w:type="dxa"/>
          <w:bottom w:w="0" w:type="dxa"/>
          <w:end w:w="108" w:type="dxa"/>
        </w:tblCellMar>
      </w:tblPr>
      <w:tblGrid>
        <w:gridCol w:w="2808"/>
        <w:gridCol w:w="1285"/>
        <w:gridCol w:w="425"/>
        <w:gridCol w:w="1980"/>
        <w:gridCol w:w="540"/>
        <w:gridCol w:w="2880"/>
        <w:gridCol w:w="540"/>
        <w:gridCol w:w="2608"/>
      </w:tblGrid>
      <w:tr>
        <w:trPr/>
        <w:tc>
          <w:tcPr>
            <w:tcW w:w="2808" w:type="dxa"/>
            <w:tcBorders>
              <w:top w:val="thinThickSmallGap" w:sz="24" w:space="0" w:color="000000"/>
            </w:tcBorders>
          </w:tcPr>
          <w:p>
            <w:pPr>
              <w:pStyle w:val="Normal"/>
              <w:rPr>
                <w:b/>
                <w:color w:val="FF0000"/>
                <w:sz w:val="22"/>
              </w:rPr>
            </w:pPr>
            <w:r>
              <w:rPr>
                <w:b/>
                <w:color w:val="FF0000"/>
                <w:sz w:val="22"/>
              </w:rPr>
              <w:t>STAGES OF CALIFORNIA ELECTRIC MARKET</w:t>
            </w:r>
          </w:p>
        </w:tc>
        <w:tc>
          <w:tcPr>
            <w:tcW w:w="1285" w:type="dxa"/>
            <w:tcBorders>
              <w:top w:val="thinThickSmallGap" w:sz="24" w:space="0" w:color="000000"/>
              <w:bottom w:val="single" w:sz="18" w:space="0" w:color="000000"/>
            </w:tcBorders>
            <w:vAlign w:val="center"/>
          </w:tcPr>
          <w:p>
            <w:pPr>
              <w:pStyle w:val="Normal"/>
              <w:jc w:val="center"/>
              <w:rPr>
                <w:sz w:val="22"/>
              </w:rPr>
            </w:pPr>
            <w:r>
              <w:rPr>
                <w:sz w:val="22"/>
              </w:rPr>
              <w:t>Regulated</w:t>
            </w:r>
          </w:p>
        </w:tc>
        <w:tc>
          <w:tcPr>
            <w:tcW w:w="425" w:type="dxa"/>
            <w:vMerge w:val="restart"/>
            <w:tcBorders>
              <w:top w:val="thinThickSmallGap" w:sz="24" w:space="0" w:color="000000"/>
            </w:tcBorders>
            <w:vAlign w:val="center"/>
          </w:tcPr>
          <w:p>
            <w:pPr>
              <w:pStyle w:val="Normal"/>
              <w:snapToGrid w:val="false"/>
              <w:jc w:val="center"/>
              <w:rPr>
                <w:sz w:val="22"/>
              </w:rPr>
            </w:pPr>
            <w:r>
              <w:rPr>
                <w:sz w:val="22"/>
              </w:rPr>
            </w:r>
          </w:p>
        </w:tc>
        <w:tc>
          <w:tcPr>
            <w:tcW w:w="1980" w:type="dxa"/>
            <w:tcBorders>
              <w:top w:val="thinThickSmallGap" w:sz="24" w:space="0" w:color="000000"/>
              <w:bottom w:val="single" w:sz="18" w:space="0" w:color="000000"/>
            </w:tcBorders>
            <w:vAlign w:val="center"/>
          </w:tcPr>
          <w:p>
            <w:pPr>
              <w:pStyle w:val="Normal"/>
              <w:jc w:val="center"/>
              <w:rPr>
                <w:sz w:val="22"/>
              </w:rPr>
            </w:pPr>
            <w:r>
              <w:rPr>
                <w:sz w:val="22"/>
              </w:rPr>
              <w:t>Change in Costs since 1996</w:t>
            </w:r>
          </w:p>
        </w:tc>
        <w:tc>
          <w:tcPr>
            <w:tcW w:w="540" w:type="dxa"/>
            <w:vMerge w:val="restart"/>
            <w:tcBorders>
              <w:top w:val="thinThickSmallGap" w:sz="24" w:space="0" w:color="000000"/>
            </w:tcBorders>
            <w:vAlign w:val="center"/>
          </w:tcPr>
          <w:p>
            <w:pPr>
              <w:pStyle w:val="Normal"/>
              <w:snapToGrid w:val="false"/>
              <w:jc w:val="center"/>
              <w:rPr>
                <w:sz w:val="22"/>
              </w:rPr>
            </w:pPr>
            <w:r>
              <w:rPr>
                <w:sz w:val="22"/>
              </w:rPr>
            </w:r>
          </w:p>
        </w:tc>
        <w:tc>
          <w:tcPr>
            <w:tcW w:w="2880" w:type="dxa"/>
            <w:tcBorders>
              <w:top w:val="thinThickSmallGap" w:sz="24" w:space="0" w:color="000000"/>
              <w:bottom w:val="single" w:sz="18" w:space="0" w:color="000000"/>
            </w:tcBorders>
            <w:vAlign w:val="center"/>
          </w:tcPr>
          <w:p>
            <w:pPr>
              <w:pStyle w:val="Normal"/>
              <w:jc w:val="center"/>
              <w:rPr>
                <w:sz w:val="22"/>
              </w:rPr>
            </w:pPr>
            <w:r>
              <w:rPr>
                <w:sz w:val="22"/>
              </w:rPr>
              <w:t>De-regulated Market</w:t>
            </w:r>
          </w:p>
          <w:p>
            <w:pPr>
              <w:pStyle w:val="Heading7"/>
              <w:ind w:hanging="0" w:start="0"/>
              <w:jc w:val="center"/>
              <w:rPr>
                <w:sz w:val="22"/>
              </w:rPr>
            </w:pPr>
            <w:r>
              <w:rPr>
                <w:sz w:val="22"/>
              </w:rPr>
              <w:t>IDEAL</w:t>
            </w:r>
          </w:p>
        </w:tc>
        <w:tc>
          <w:tcPr>
            <w:tcW w:w="540" w:type="dxa"/>
            <w:vMerge w:val="restart"/>
            <w:tcBorders>
              <w:top w:val="thinThickSmallGap" w:sz="24" w:space="0" w:color="000000"/>
            </w:tcBorders>
            <w:vAlign w:val="center"/>
          </w:tcPr>
          <w:p>
            <w:pPr>
              <w:pStyle w:val="Normal"/>
              <w:snapToGrid w:val="false"/>
              <w:jc w:val="center"/>
              <w:rPr>
                <w:sz w:val="22"/>
              </w:rPr>
            </w:pPr>
            <w:r>
              <w:rPr>
                <w:sz w:val="22"/>
              </w:rPr>
            </w:r>
          </w:p>
        </w:tc>
        <w:tc>
          <w:tcPr>
            <w:tcW w:w="2608" w:type="dxa"/>
            <w:tcBorders>
              <w:top w:val="thinThickSmallGap" w:sz="24" w:space="0" w:color="000000"/>
              <w:bottom w:val="single" w:sz="18" w:space="0" w:color="000000"/>
            </w:tcBorders>
            <w:vAlign w:val="center"/>
          </w:tcPr>
          <w:p>
            <w:pPr>
              <w:pStyle w:val="Normal"/>
              <w:jc w:val="center"/>
              <w:rPr>
                <w:sz w:val="22"/>
              </w:rPr>
            </w:pPr>
            <w:r>
              <w:rPr>
                <w:sz w:val="22"/>
              </w:rPr>
              <w:t>Existing Situation</w:t>
            </w:r>
          </w:p>
        </w:tc>
      </w:tr>
      <w:tr>
        <w:trPr>
          <w:trHeight w:val="873" w:hRule="atLeast"/>
        </w:trPr>
        <w:tc>
          <w:tcPr>
            <w:tcW w:w="2808" w:type="dxa"/>
            <w:tcBorders/>
            <w:vAlign w:val="bottom"/>
          </w:tcPr>
          <w:p>
            <w:pPr>
              <w:pStyle w:val="Normal"/>
              <w:rPr>
                <w:sz w:val="22"/>
              </w:rPr>
            </w:pPr>
            <w:r>
              <w:rPr>
                <w:sz w:val="22"/>
              </w:rPr>
              <w:t>Generation  -  IOU owned</w:t>
            </w:r>
          </w:p>
        </w:tc>
        <w:tc>
          <w:tcPr>
            <w:tcW w:w="1285" w:type="dxa"/>
            <w:tcBorders>
              <w:top w:val="single" w:sz="18" w:space="0" w:color="000000"/>
            </w:tcBorders>
            <w:vAlign w:val="bottom"/>
          </w:tcPr>
          <w:p>
            <w:pPr>
              <w:pStyle w:val="Normal"/>
              <w:jc w:val="center"/>
              <w:rPr>
                <w:sz w:val="22"/>
              </w:rPr>
            </w:pPr>
            <w:r>
              <w:rPr>
                <w:sz w:val="22"/>
              </w:rPr>
              <w:t>Cost = X</w:t>
            </w:r>
          </w:p>
        </w:tc>
        <w:tc>
          <w:tcPr>
            <w:tcW w:w="425" w:type="dxa"/>
            <w:vMerge w:val="continue"/>
            <w:tcBorders>
              <w:top w:val="thinThickSmallGap" w:sz="24" w:space="0" w:color="000000"/>
            </w:tcBorders>
            <w:vAlign w:val="center"/>
          </w:tcPr>
          <w:p>
            <w:pPr>
              <w:pStyle w:val="Normal"/>
              <w:snapToGrid w:val="false"/>
              <w:jc w:val="center"/>
              <w:rPr>
                <w:sz w:val="22"/>
              </w:rPr>
            </w:pPr>
            <w:r>
              <w:rPr>
                <w:sz w:val="22"/>
              </w:rPr>
            </w:r>
          </w:p>
        </w:tc>
        <w:tc>
          <w:tcPr>
            <w:tcW w:w="1980" w:type="dxa"/>
            <w:tcBorders>
              <w:top w:val="single" w:sz="18" w:space="0" w:color="000000"/>
            </w:tcBorders>
            <w:vAlign w:val="bottom"/>
          </w:tcPr>
          <w:p>
            <w:pPr>
              <w:pStyle w:val="Normal"/>
              <w:jc w:val="center"/>
              <w:rPr>
                <w:sz w:val="22"/>
              </w:rPr>
            </w:pPr>
            <w:r>
              <w:rPr>
                <w:sz w:val="22"/>
              </w:rPr>
              <w:t>X + inflation</w:t>
            </w:r>
          </w:p>
        </w:tc>
        <w:tc>
          <w:tcPr>
            <w:tcW w:w="540" w:type="dxa"/>
            <w:vMerge w:val="continue"/>
            <w:tcBorders>
              <w:top w:val="thinThickSmallGap" w:sz="24" w:space="0" w:color="000000"/>
            </w:tcBorders>
            <w:vAlign w:val="center"/>
          </w:tcPr>
          <w:p>
            <w:pPr>
              <w:pStyle w:val="Normal"/>
              <w:snapToGrid w:val="false"/>
              <w:jc w:val="center"/>
              <w:rPr>
                <w:sz w:val="22"/>
              </w:rPr>
            </w:pPr>
            <w:r>
              <w:rPr>
                <w:sz w:val="22"/>
              </w:rPr>
            </w:r>
          </w:p>
        </w:tc>
        <w:tc>
          <w:tcPr>
            <w:tcW w:w="2880" w:type="dxa"/>
            <w:tcBorders>
              <w:top w:val="single" w:sz="18" w:space="0" w:color="000000"/>
            </w:tcBorders>
            <w:vAlign w:val="bottom"/>
          </w:tcPr>
          <w:p>
            <w:pPr>
              <w:pStyle w:val="Normal"/>
              <w:jc w:val="center"/>
              <w:rPr>
                <w:sz w:val="22"/>
              </w:rPr>
            </w:pPr>
            <w:r>
              <w:rPr>
                <w:sz w:val="22"/>
              </w:rPr>
              <w:t>X+ market forces + benefit-sharing = X</w:t>
            </w:r>
            <w:r>
              <w:rPr>
                <w:sz w:val="22"/>
                <w:vertAlign w:val="subscript"/>
              </w:rPr>
              <w:t>reduced</w:t>
            </w:r>
          </w:p>
        </w:tc>
        <w:tc>
          <w:tcPr>
            <w:tcW w:w="540" w:type="dxa"/>
            <w:vMerge w:val="continue"/>
            <w:tcBorders>
              <w:top w:val="thinThickSmallGap" w:sz="24" w:space="0" w:color="000000"/>
            </w:tcBorders>
            <w:vAlign w:val="center"/>
          </w:tcPr>
          <w:p>
            <w:pPr>
              <w:pStyle w:val="Normal"/>
              <w:snapToGrid w:val="false"/>
              <w:jc w:val="center"/>
              <w:rPr>
                <w:sz w:val="22"/>
              </w:rPr>
            </w:pPr>
            <w:r>
              <w:rPr>
                <w:sz w:val="22"/>
              </w:rPr>
            </w:r>
          </w:p>
        </w:tc>
        <w:tc>
          <w:tcPr>
            <w:tcW w:w="2608" w:type="dxa"/>
            <w:tcBorders>
              <w:top w:val="single" w:sz="18" w:space="0" w:color="000000"/>
            </w:tcBorders>
            <w:vAlign w:val="bottom"/>
          </w:tcPr>
          <w:p>
            <w:pPr>
              <w:pStyle w:val="Normal"/>
              <w:jc w:val="center"/>
              <w:rPr>
                <w:sz w:val="22"/>
              </w:rPr>
            </w:pPr>
            <w:r>
              <w:rPr>
                <w:sz w:val="22"/>
              </w:rPr>
              <w:t xml:space="preserve">X+ market forces </w:t>
            </w:r>
            <w:r>
              <w:rPr>
                <w:color w:val="FF0000"/>
                <w:sz w:val="22"/>
              </w:rPr>
              <w:t>gone crazy</w:t>
            </w:r>
            <w:r>
              <w:rPr>
                <w:sz w:val="22"/>
              </w:rPr>
              <w:t>+ benefit-sharing = X</w:t>
            </w:r>
            <w:r>
              <w:rPr>
                <w:sz w:val="22"/>
                <w:vertAlign w:val="subscript"/>
              </w:rPr>
              <w:t>rmuted crazy</w:t>
            </w:r>
          </w:p>
        </w:tc>
      </w:tr>
      <w:tr>
        <w:trPr>
          <w:trHeight w:val="882" w:hRule="atLeast"/>
        </w:trPr>
        <w:tc>
          <w:tcPr>
            <w:tcW w:w="2808" w:type="dxa"/>
            <w:tcBorders/>
            <w:vAlign w:val="center"/>
          </w:tcPr>
          <w:p>
            <w:pPr>
              <w:pStyle w:val="Normal"/>
              <w:rPr>
                <w:sz w:val="22"/>
              </w:rPr>
            </w:pPr>
            <w:r>
              <w:rPr>
                <w:sz w:val="22"/>
              </w:rPr>
              <w:t xml:space="preserve">               </w:t>
            </w:r>
            <w:r>
              <w:rPr>
                <w:sz w:val="22"/>
              </w:rPr>
              <w:t>- purchased/new</w:t>
            </w:r>
          </w:p>
        </w:tc>
        <w:tc>
          <w:tcPr>
            <w:tcW w:w="1285" w:type="dxa"/>
            <w:tcBorders>
              <w:bottom w:val="single" w:sz="4" w:space="0" w:color="000000"/>
            </w:tcBorders>
            <w:vAlign w:val="center"/>
          </w:tcPr>
          <w:p>
            <w:pPr>
              <w:pStyle w:val="Normal"/>
              <w:jc w:val="center"/>
              <w:rPr>
                <w:sz w:val="22"/>
              </w:rPr>
            </w:pPr>
            <w:r>
              <w:rPr>
                <w:sz w:val="22"/>
              </w:rPr>
              <w:t>Cost = Y</w:t>
            </w:r>
          </w:p>
        </w:tc>
        <w:tc>
          <w:tcPr>
            <w:tcW w:w="425" w:type="dxa"/>
            <w:tcBorders/>
            <w:vAlign w:val="center"/>
          </w:tcPr>
          <w:p>
            <w:pPr>
              <w:pStyle w:val="Normal"/>
              <w:snapToGrid w:val="false"/>
              <w:jc w:val="center"/>
              <w:rPr>
                <w:sz w:val="22"/>
              </w:rPr>
            </w:pPr>
            <w:r>
              <w:rPr>
                <w:sz w:val="22"/>
              </w:rPr>
            </w:r>
          </w:p>
        </w:tc>
        <w:tc>
          <w:tcPr>
            <w:tcW w:w="1980" w:type="dxa"/>
            <w:tcBorders>
              <w:bottom w:val="single" w:sz="4" w:space="0" w:color="000000"/>
            </w:tcBorders>
            <w:vAlign w:val="center"/>
          </w:tcPr>
          <w:p>
            <w:pPr>
              <w:pStyle w:val="Normal"/>
              <w:jc w:val="center"/>
              <w:rPr>
                <w:sz w:val="22"/>
              </w:rPr>
            </w:pPr>
            <w:r>
              <w:rPr>
                <w:sz w:val="22"/>
              </w:rPr>
              <w:t>Y + inflation + market forces</w:t>
            </w:r>
          </w:p>
        </w:tc>
        <w:tc>
          <w:tcPr>
            <w:tcW w:w="540" w:type="dxa"/>
            <w:tcBorders/>
            <w:vAlign w:val="center"/>
          </w:tcPr>
          <w:p>
            <w:pPr>
              <w:pStyle w:val="Normal"/>
              <w:snapToGrid w:val="false"/>
              <w:jc w:val="center"/>
              <w:rPr>
                <w:sz w:val="22"/>
              </w:rPr>
            </w:pPr>
            <w:r>
              <w:rPr>
                <w:sz w:val="22"/>
              </w:rPr>
            </w:r>
          </w:p>
        </w:tc>
        <w:tc>
          <w:tcPr>
            <w:tcW w:w="2880" w:type="dxa"/>
            <w:tcBorders>
              <w:bottom w:val="single" w:sz="4" w:space="0" w:color="000000"/>
            </w:tcBorders>
            <w:vAlign w:val="center"/>
          </w:tcPr>
          <w:p>
            <w:pPr>
              <w:pStyle w:val="Normal"/>
              <w:jc w:val="center"/>
              <w:rPr>
                <w:sz w:val="22"/>
              </w:rPr>
            </w:pPr>
            <w:r>
              <w:rPr>
                <w:sz w:val="22"/>
              </w:rPr>
              <w:t>Y + market forces = Y</w:t>
            </w:r>
            <w:r>
              <w:rPr>
                <w:sz w:val="22"/>
                <w:vertAlign w:val="subscript"/>
              </w:rPr>
              <w:t>MF</w:t>
            </w:r>
          </w:p>
        </w:tc>
        <w:tc>
          <w:tcPr>
            <w:tcW w:w="540" w:type="dxa"/>
            <w:tcBorders/>
            <w:vAlign w:val="center"/>
          </w:tcPr>
          <w:p>
            <w:pPr>
              <w:pStyle w:val="Normal"/>
              <w:snapToGrid w:val="false"/>
              <w:jc w:val="center"/>
              <w:rPr>
                <w:sz w:val="22"/>
              </w:rPr>
            </w:pPr>
            <w:r>
              <w:rPr>
                <w:sz w:val="22"/>
              </w:rPr>
            </w:r>
          </w:p>
        </w:tc>
        <w:tc>
          <w:tcPr>
            <w:tcW w:w="2608" w:type="dxa"/>
            <w:tcBorders>
              <w:bottom w:val="single" w:sz="4" w:space="0" w:color="000000"/>
            </w:tcBorders>
            <w:vAlign w:val="center"/>
          </w:tcPr>
          <w:p>
            <w:pPr>
              <w:pStyle w:val="Normal"/>
              <w:jc w:val="center"/>
              <w:rPr>
                <w:sz w:val="22"/>
              </w:rPr>
            </w:pPr>
            <w:r>
              <w:rPr>
                <w:sz w:val="22"/>
              </w:rPr>
              <w:t xml:space="preserve">Y + market forces </w:t>
            </w:r>
            <w:r>
              <w:rPr>
                <w:color w:val="FF0000"/>
                <w:sz w:val="22"/>
              </w:rPr>
              <w:t>gone crazy</w:t>
            </w:r>
            <w:r>
              <w:rPr>
                <w:sz w:val="22"/>
              </w:rPr>
              <w:t xml:space="preserve"> = Y</w:t>
            </w:r>
            <w:r>
              <w:rPr>
                <w:sz w:val="22"/>
                <w:vertAlign w:val="subscript"/>
              </w:rPr>
              <w:t>MF crazy</w:t>
            </w:r>
          </w:p>
        </w:tc>
      </w:tr>
      <w:tr>
        <w:trPr>
          <w:trHeight w:val="630" w:hRule="atLeast"/>
        </w:trPr>
        <w:tc>
          <w:tcPr>
            <w:tcW w:w="2808" w:type="dxa"/>
            <w:tcBorders>
              <w:bottom w:val="dotted" w:sz="2" w:space="0" w:color="000000"/>
            </w:tcBorders>
            <w:vAlign w:val="center"/>
          </w:tcPr>
          <w:p>
            <w:pPr>
              <w:pStyle w:val="Heading1"/>
              <w:ind w:hanging="0" w:start="0"/>
              <w:rPr>
                <w:sz w:val="22"/>
              </w:rPr>
            </w:pPr>
            <w:r>
              <w:rPr>
                <w:sz w:val="22"/>
              </w:rPr>
              <w:t>Net Generation</w:t>
            </w:r>
          </w:p>
        </w:tc>
        <w:tc>
          <w:tcPr>
            <w:tcW w:w="1285" w:type="dxa"/>
            <w:tcBorders>
              <w:top w:val="single" w:sz="4" w:space="0" w:color="000000"/>
              <w:bottom w:val="dotted" w:sz="2" w:space="0" w:color="000000"/>
            </w:tcBorders>
            <w:vAlign w:val="center"/>
          </w:tcPr>
          <w:p>
            <w:pPr>
              <w:pStyle w:val="Normal"/>
              <w:jc w:val="center"/>
              <w:rPr>
                <w:sz w:val="22"/>
              </w:rPr>
            </w:pPr>
            <w:r>
              <w:rPr>
                <w:sz w:val="22"/>
              </w:rPr>
              <w:t>Avg of X&amp;Y</w:t>
            </w:r>
          </w:p>
        </w:tc>
        <w:tc>
          <w:tcPr>
            <w:tcW w:w="425" w:type="dxa"/>
            <w:tcBorders>
              <w:bottom w:val="dotted" w:sz="2" w:space="0" w:color="000000"/>
            </w:tcBorders>
            <w:vAlign w:val="center"/>
          </w:tcPr>
          <w:p>
            <w:pPr>
              <w:pStyle w:val="Normal"/>
              <w:snapToGrid w:val="false"/>
              <w:jc w:val="center"/>
              <w:rPr>
                <w:sz w:val="22"/>
              </w:rPr>
            </w:pPr>
            <w:r>
              <w:rPr>
                <w:sz w:val="22"/>
              </w:rPr>
            </w:r>
          </w:p>
        </w:tc>
        <w:tc>
          <w:tcPr>
            <w:tcW w:w="1980" w:type="dxa"/>
            <w:tcBorders>
              <w:top w:val="single" w:sz="4" w:space="0" w:color="000000"/>
              <w:bottom w:val="dotted" w:sz="2" w:space="0" w:color="000000"/>
            </w:tcBorders>
            <w:vAlign w:val="center"/>
          </w:tcPr>
          <w:p>
            <w:pPr>
              <w:pStyle w:val="Normal"/>
              <w:jc w:val="center"/>
              <w:rPr>
                <w:sz w:val="22"/>
              </w:rPr>
            </w:pPr>
            <w:r>
              <w:rPr>
                <w:sz w:val="22"/>
              </w:rPr>
              <w:t>Inflation + market forces</w:t>
            </w:r>
          </w:p>
        </w:tc>
        <w:tc>
          <w:tcPr>
            <w:tcW w:w="540" w:type="dxa"/>
            <w:tcBorders>
              <w:bottom w:val="dotted" w:sz="2" w:space="0" w:color="000000"/>
            </w:tcBorders>
            <w:vAlign w:val="center"/>
          </w:tcPr>
          <w:p>
            <w:pPr>
              <w:pStyle w:val="Normal"/>
              <w:snapToGrid w:val="false"/>
              <w:jc w:val="center"/>
              <w:rPr>
                <w:sz w:val="22"/>
              </w:rPr>
            </w:pPr>
            <w:r>
              <w:rPr>
                <w:sz w:val="22"/>
              </w:rPr>
            </w:r>
          </w:p>
        </w:tc>
        <w:tc>
          <w:tcPr>
            <w:tcW w:w="2880" w:type="dxa"/>
            <w:tcBorders>
              <w:top w:val="single" w:sz="4" w:space="0" w:color="000000"/>
              <w:bottom w:val="dotted" w:sz="2" w:space="0" w:color="000000"/>
            </w:tcBorders>
            <w:vAlign w:val="center"/>
          </w:tcPr>
          <w:p>
            <w:pPr>
              <w:pStyle w:val="Normal"/>
              <w:jc w:val="center"/>
              <w:rPr>
                <w:sz w:val="22"/>
              </w:rPr>
            </w:pPr>
            <w:r>
              <w:rPr>
                <w:sz w:val="22"/>
              </w:rPr>
              <w:t>Average of Y</w:t>
            </w:r>
            <w:r>
              <w:rPr>
                <w:sz w:val="22"/>
                <w:vertAlign w:val="subscript"/>
              </w:rPr>
              <w:t xml:space="preserve">MF </w:t>
            </w:r>
            <w:r>
              <w:rPr>
                <w:sz w:val="22"/>
              </w:rPr>
              <w:t xml:space="preserve"> &amp; X</w:t>
            </w:r>
            <w:r>
              <w:rPr>
                <w:sz w:val="22"/>
                <w:vertAlign w:val="subscript"/>
              </w:rPr>
              <w:t>reduced</w:t>
            </w:r>
          </w:p>
        </w:tc>
        <w:tc>
          <w:tcPr>
            <w:tcW w:w="540" w:type="dxa"/>
            <w:tcBorders>
              <w:bottom w:val="dotted" w:sz="2" w:space="0" w:color="000000"/>
            </w:tcBorders>
            <w:vAlign w:val="center"/>
          </w:tcPr>
          <w:p>
            <w:pPr>
              <w:pStyle w:val="Normal"/>
              <w:snapToGrid w:val="false"/>
              <w:jc w:val="center"/>
              <w:rPr>
                <w:sz w:val="22"/>
              </w:rPr>
            </w:pPr>
            <w:r>
              <w:rPr>
                <w:sz w:val="22"/>
              </w:rPr>
            </w:r>
          </w:p>
        </w:tc>
        <w:tc>
          <w:tcPr>
            <w:tcW w:w="2608" w:type="dxa"/>
            <w:tcBorders>
              <w:top w:val="single" w:sz="4" w:space="0" w:color="000000"/>
              <w:bottom w:val="dotted" w:sz="2" w:space="0" w:color="000000"/>
            </w:tcBorders>
            <w:vAlign w:val="center"/>
          </w:tcPr>
          <w:p>
            <w:pPr>
              <w:pStyle w:val="Normal"/>
              <w:jc w:val="center"/>
              <w:rPr>
                <w:sz w:val="22"/>
              </w:rPr>
            </w:pPr>
            <w:r>
              <w:rPr>
                <w:sz w:val="22"/>
              </w:rPr>
              <w:t>Average of Y</w:t>
            </w:r>
            <w:r>
              <w:rPr>
                <w:sz w:val="22"/>
                <w:vertAlign w:val="subscript"/>
              </w:rPr>
              <w:t xml:space="preserve">MF crazy </w:t>
            </w:r>
            <w:r>
              <w:rPr>
                <w:sz w:val="22"/>
              </w:rPr>
              <w:t>&amp; X</w:t>
            </w:r>
            <w:r>
              <w:rPr>
                <w:sz w:val="22"/>
                <w:vertAlign w:val="subscript"/>
              </w:rPr>
              <w:t xml:space="preserve">rmuted crazy  </w:t>
            </w:r>
            <w:r>
              <w:rPr>
                <w:sz w:val="22"/>
              </w:rPr>
              <w:t xml:space="preserve"> = </w:t>
            </w:r>
            <w:r>
              <w:rPr>
                <w:color w:val="FF0000"/>
                <w:sz w:val="22"/>
              </w:rPr>
              <w:t>$$$$</w:t>
            </w:r>
          </w:p>
        </w:tc>
      </w:tr>
      <w:tr>
        <w:trPr>
          <w:trHeight w:val="630" w:hRule="atLeast"/>
        </w:trPr>
        <w:tc>
          <w:tcPr>
            <w:tcW w:w="2808" w:type="dxa"/>
            <w:tcBorders>
              <w:top w:val="dotted" w:sz="2" w:space="0" w:color="000000"/>
            </w:tcBorders>
            <w:vAlign w:val="bottom"/>
          </w:tcPr>
          <w:p>
            <w:pPr>
              <w:pStyle w:val="Normal"/>
              <w:rPr>
                <w:b/>
                <w:sz w:val="22"/>
              </w:rPr>
            </w:pPr>
            <w:r>
              <w:rPr>
                <w:b/>
                <w:sz w:val="22"/>
              </w:rPr>
              <w:t>Transmission</w:t>
            </w:r>
          </w:p>
        </w:tc>
        <w:tc>
          <w:tcPr>
            <w:tcW w:w="1285" w:type="dxa"/>
            <w:tcBorders>
              <w:top w:val="dotted" w:sz="2" w:space="0" w:color="000000"/>
            </w:tcBorders>
            <w:vAlign w:val="bottom"/>
          </w:tcPr>
          <w:p>
            <w:pPr>
              <w:pStyle w:val="Normal"/>
              <w:jc w:val="center"/>
              <w:rPr>
                <w:sz w:val="22"/>
              </w:rPr>
            </w:pPr>
            <w:r>
              <w:rPr>
                <w:sz w:val="22"/>
              </w:rPr>
              <w:t>$1</w:t>
            </w:r>
          </w:p>
        </w:tc>
        <w:tc>
          <w:tcPr>
            <w:tcW w:w="425" w:type="dxa"/>
            <w:tcBorders>
              <w:top w:val="dotted" w:sz="2" w:space="0" w:color="000000"/>
            </w:tcBorders>
            <w:vAlign w:val="bottom"/>
          </w:tcPr>
          <w:p>
            <w:pPr>
              <w:pStyle w:val="Normal"/>
              <w:snapToGrid w:val="false"/>
              <w:jc w:val="center"/>
              <w:rPr>
                <w:sz w:val="22"/>
              </w:rPr>
            </w:pPr>
            <w:r>
              <w:rPr>
                <w:sz w:val="22"/>
              </w:rPr>
            </w:r>
          </w:p>
        </w:tc>
        <w:tc>
          <w:tcPr>
            <w:tcW w:w="1980" w:type="dxa"/>
            <w:tcBorders>
              <w:top w:val="dotted" w:sz="2" w:space="0" w:color="000000"/>
            </w:tcBorders>
            <w:vAlign w:val="bottom"/>
          </w:tcPr>
          <w:p>
            <w:pPr>
              <w:pStyle w:val="Normal"/>
              <w:jc w:val="center"/>
              <w:rPr>
                <w:sz w:val="22"/>
              </w:rPr>
            </w:pPr>
            <w:r>
              <w:rPr>
                <w:sz w:val="22"/>
              </w:rPr>
              <w:t>+$1 plus generation costs for system support</w:t>
            </w:r>
          </w:p>
        </w:tc>
        <w:tc>
          <w:tcPr>
            <w:tcW w:w="540" w:type="dxa"/>
            <w:tcBorders>
              <w:top w:val="dotted" w:sz="2" w:space="0" w:color="000000"/>
            </w:tcBorders>
            <w:vAlign w:val="bottom"/>
          </w:tcPr>
          <w:p>
            <w:pPr>
              <w:pStyle w:val="Normal"/>
              <w:snapToGrid w:val="false"/>
              <w:jc w:val="center"/>
              <w:rPr>
                <w:sz w:val="22"/>
              </w:rPr>
            </w:pPr>
            <w:r>
              <w:rPr>
                <w:sz w:val="22"/>
              </w:rPr>
            </w:r>
          </w:p>
        </w:tc>
        <w:tc>
          <w:tcPr>
            <w:tcW w:w="2880" w:type="dxa"/>
            <w:tcBorders>
              <w:top w:val="dotted" w:sz="2" w:space="0" w:color="000000"/>
            </w:tcBorders>
            <w:vAlign w:val="bottom"/>
          </w:tcPr>
          <w:p>
            <w:pPr>
              <w:pStyle w:val="Normal"/>
              <w:jc w:val="center"/>
              <w:rPr/>
            </w:pPr>
            <w:r>
              <w:rPr>
                <w:sz w:val="22"/>
              </w:rPr>
              <w:t>$2 + (Y</w:t>
            </w:r>
            <w:r>
              <w:rPr>
                <w:sz w:val="22"/>
                <w:vertAlign w:val="subscript"/>
              </w:rPr>
              <w:t xml:space="preserve">MF </w:t>
            </w:r>
            <w:r>
              <w:rPr>
                <w:sz w:val="22"/>
              </w:rPr>
              <w:t xml:space="preserve"> &amp; X</w:t>
            </w:r>
            <w:r>
              <w:rPr>
                <w:sz w:val="22"/>
                <w:vertAlign w:val="subscript"/>
              </w:rPr>
              <w:t xml:space="preserve">reduced </w:t>
            </w:r>
            <w:r>
              <w:rPr>
                <w:sz w:val="22"/>
              </w:rPr>
              <w:t>)</w:t>
            </w:r>
          </w:p>
        </w:tc>
        <w:tc>
          <w:tcPr>
            <w:tcW w:w="540" w:type="dxa"/>
            <w:tcBorders>
              <w:top w:val="dotted" w:sz="2" w:space="0" w:color="000000"/>
            </w:tcBorders>
            <w:vAlign w:val="bottom"/>
          </w:tcPr>
          <w:p>
            <w:pPr>
              <w:pStyle w:val="Normal"/>
              <w:snapToGrid w:val="false"/>
              <w:jc w:val="center"/>
              <w:rPr>
                <w:sz w:val="22"/>
              </w:rPr>
            </w:pPr>
            <w:r>
              <w:rPr>
                <w:sz w:val="22"/>
              </w:rPr>
            </w:r>
          </w:p>
        </w:tc>
        <w:tc>
          <w:tcPr>
            <w:tcW w:w="2608" w:type="dxa"/>
            <w:tcBorders>
              <w:top w:val="dotted" w:sz="2" w:space="0" w:color="000000"/>
            </w:tcBorders>
            <w:vAlign w:val="bottom"/>
          </w:tcPr>
          <w:p>
            <w:pPr>
              <w:pStyle w:val="Normal"/>
              <w:jc w:val="center"/>
              <w:rPr>
                <w:sz w:val="22"/>
              </w:rPr>
            </w:pPr>
            <w:r>
              <w:rPr>
                <w:sz w:val="22"/>
              </w:rPr>
              <w:t xml:space="preserve">$2 + </w:t>
            </w:r>
            <w:r>
              <w:rPr>
                <w:color w:val="FF0000"/>
                <w:sz w:val="22"/>
              </w:rPr>
              <w:t>$$$$</w:t>
            </w:r>
          </w:p>
        </w:tc>
      </w:tr>
      <w:tr>
        <w:trPr>
          <w:trHeight w:val="369" w:hRule="atLeast"/>
        </w:trPr>
        <w:tc>
          <w:tcPr>
            <w:tcW w:w="2808" w:type="dxa"/>
            <w:tcBorders/>
            <w:vAlign w:val="bottom"/>
          </w:tcPr>
          <w:p>
            <w:pPr>
              <w:pStyle w:val="Normal"/>
              <w:rPr>
                <w:b/>
                <w:sz w:val="22"/>
              </w:rPr>
            </w:pPr>
            <w:r>
              <w:rPr>
                <w:b/>
                <w:sz w:val="22"/>
              </w:rPr>
              <w:t>Distribution</w:t>
            </w:r>
          </w:p>
        </w:tc>
        <w:tc>
          <w:tcPr>
            <w:tcW w:w="1285" w:type="dxa"/>
            <w:tcBorders>
              <w:bottom w:val="single" w:sz="4" w:space="0" w:color="000000"/>
            </w:tcBorders>
            <w:vAlign w:val="bottom"/>
          </w:tcPr>
          <w:p>
            <w:pPr>
              <w:pStyle w:val="Normal"/>
              <w:jc w:val="center"/>
              <w:rPr>
                <w:sz w:val="22"/>
              </w:rPr>
            </w:pPr>
            <w:r>
              <w:rPr>
                <w:sz w:val="22"/>
              </w:rPr>
              <w:t>$1</w:t>
            </w:r>
          </w:p>
        </w:tc>
        <w:tc>
          <w:tcPr>
            <w:tcW w:w="425" w:type="dxa"/>
            <w:tcBorders/>
            <w:vAlign w:val="bottom"/>
          </w:tcPr>
          <w:p>
            <w:pPr>
              <w:pStyle w:val="Normal"/>
              <w:snapToGrid w:val="false"/>
              <w:jc w:val="center"/>
              <w:rPr>
                <w:sz w:val="22"/>
              </w:rPr>
            </w:pPr>
            <w:r>
              <w:rPr>
                <w:sz w:val="22"/>
              </w:rPr>
            </w:r>
          </w:p>
        </w:tc>
        <w:tc>
          <w:tcPr>
            <w:tcW w:w="1980" w:type="dxa"/>
            <w:tcBorders/>
            <w:vAlign w:val="bottom"/>
          </w:tcPr>
          <w:p>
            <w:pPr>
              <w:pStyle w:val="Normal"/>
              <w:jc w:val="center"/>
              <w:rPr>
                <w:sz w:val="22"/>
              </w:rPr>
            </w:pPr>
            <w:r>
              <w:rPr>
                <w:sz w:val="22"/>
              </w:rPr>
              <w:t>+$1</w:t>
            </w:r>
          </w:p>
        </w:tc>
        <w:tc>
          <w:tcPr>
            <w:tcW w:w="540" w:type="dxa"/>
            <w:tcBorders/>
            <w:vAlign w:val="bottom"/>
          </w:tcPr>
          <w:p>
            <w:pPr>
              <w:pStyle w:val="Normal"/>
              <w:snapToGrid w:val="false"/>
              <w:jc w:val="center"/>
              <w:rPr>
                <w:sz w:val="22"/>
              </w:rPr>
            </w:pPr>
            <w:r>
              <w:rPr>
                <w:sz w:val="22"/>
              </w:rPr>
            </w:r>
          </w:p>
        </w:tc>
        <w:tc>
          <w:tcPr>
            <w:tcW w:w="2880" w:type="dxa"/>
            <w:tcBorders>
              <w:bottom w:val="single" w:sz="4" w:space="0" w:color="000000"/>
            </w:tcBorders>
            <w:vAlign w:val="bottom"/>
          </w:tcPr>
          <w:p>
            <w:pPr>
              <w:pStyle w:val="Normal"/>
              <w:jc w:val="center"/>
              <w:rPr>
                <w:sz w:val="22"/>
              </w:rPr>
            </w:pPr>
            <w:r>
              <w:rPr>
                <w:sz w:val="22"/>
              </w:rPr>
              <w:t>$2</w:t>
            </w:r>
          </w:p>
        </w:tc>
        <w:tc>
          <w:tcPr>
            <w:tcW w:w="540" w:type="dxa"/>
            <w:vMerge w:val="restart"/>
            <w:tcBorders/>
            <w:vAlign w:val="bottom"/>
          </w:tcPr>
          <w:p>
            <w:pPr>
              <w:pStyle w:val="Normal"/>
              <w:snapToGrid w:val="false"/>
              <w:jc w:val="center"/>
              <w:rPr>
                <w:sz w:val="22"/>
              </w:rPr>
            </w:pPr>
            <w:r>
              <w:rPr>
                <w:sz w:val="22"/>
              </w:rPr>
            </w:r>
          </w:p>
        </w:tc>
        <w:tc>
          <w:tcPr>
            <w:tcW w:w="2608" w:type="dxa"/>
            <w:tcBorders>
              <w:bottom w:val="single" w:sz="4" w:space="0" w:color="000000"/>
            </w:tcBorders>
            <w:vAlign w:val="bottom"/>
          </w:tcPr>
          <w:p>
            <w:pPr>
              <w:pStyle w:val="Normal"/>
              <w:jc w:val="center"/>
              <w:rPr>
                <w:sz w:val="22"/>
              </w:rPr>
            </w:pPr>
            <w:r>
              <w:rPr>
                <w:sz w:val="22"/>
              </w:rPr>
              <w:t>$2</w:t>
            </w:r>
          </w:p>
        </w:tc>
      </w:tr>
      <w:tr>
        <w:trPr>
          <w:trHeight w:val="449" w:hRule="atLeast"/>
        </w:trPr>
        <w:tc>
          <w:tcPr>
            <w:tcW w:w="2808" w:type="dxa"/>
            <w:tcBorders/>
            <w:vAlign w:val="bottom"/>
          </w:tcPr>
          <w:p>
            <w:pPr>
              <w:pStyle w:val="Normal"/>
              <w:rPr>
                <w:b/>
                <w:sz w:val="22"/>
              </w:rPr>
            </w:pPr>
            <w:r>
              <w:rPr>
                <w:b/>
                <w:sz w:val="22"/>
              </w:rPr>
              <w:t>Cost to IOU</w:t>
            </w:r>
          </w:p>
        </w:tc>
        <w:tc>
          <w:tcPr>
            <w:tcW w:w="1285" w:type="dxa"/>
            <w:tcBorders>
              <w:top w:val="single" w:sz="4" w:space="0" w:color="000000"/>
              <w:bottom w:val="double" w:sz="4" w:space="0" w:color="000000"/>
            </w:tcBorders>
            <w:vAlign w:val="bottom"/>
          </w:tcPr>
          <w:p>
            <w:pPr>
              <w:pStyle w:val="Normal"/>
              <w:jc w:val="center"/>
              <w:rPr>
                <w:sz w:val="22"/>
              </w:rPr>
            </w:pPr>
            <w:r>
              <w:rPr>
                <w:sz w:val="22"/>
              </w:rPr>
              <w:t>$10</w:t>
            </w:r>
          </w:p>
        </w:tc>
        <w:tc>
          <w:tcPr>
            <w:tcW w:w="425" w:type="dxa"/>
            <w:tcBorders/>
            <w:vAlign w:val="bottom"/>
          </w:tcPr>
          <w:p>
            <w:pPr>
              <w:pStyle w:val="Normal"/>
              <w:snapToGrid w:val="false"/>
              <w:jc w:val="center"/>
              <w:rPr>
                <w:sz w:val="22"/>
              </w:rPr>
            </w:pPr>
            <w:r>
              <w:rPr>
                <w:sz w:val="22"/>
              </w:rPr>
            </w:r>
          </w:p>
        </w:tc>
        <w:tc>
          <w:tcPr>
            <w:tcW w:w="1980" w:type="dxa"/>
            <w:tcBorders/>
            <w:vAlign w:val="bottom"/>
          </w:tcPr>
          <w:p>
            <w:pPr>
              <w:pStyle w:val="Normal"/>
              <w:snapToGrid w:val="false"/>
              <w:jc w:val="center"/>
              <w:rPr>
                <w:sz w:val="22"/>
              </w:rPr>
            </w:pPr>
            <w:r>
              <w:rPr>
                <w:sz w:val="22"/>
              </w:rPr>
            </w:r>
          </w:p>
        </w:tc>
        <w:tc>
          <w:tcPr>
            <w:tcW w:w="540" w:type="dxa"/>
            <w:tcBorders/>
            <w:vAlign w:val="bottom"/>
          </w:tcPr>
          <w:p>
            <w:pPr>
              <w:pStyle w:val="Normal"/>
              <w:snapToGrid w:val="false"/>
              <w:jc w:val="center"/>
              <w:rPr>
                <w:sz w:val="22"/>
              </w:rPr>
            </w:pPr>
            <w:r>
              <w:rPr>
                <w:sz w:val="22"/>
              </w:rPr>
            </w:r>
          </w:p>
        </w:tc>
        <w:tc>
          <w:tcPr>
            <w:tcW w:w="2880" w:type="dxa"/>
            <w:tcBorders>
              <w:top w:val="single" w:sz="4" w:space="0" w:color="000000"/>
              <w:bottom w:val="double" w:sz="4" w:space="0" w:color="000000"/>
            </w:tcBorders>
            <w:vAlign w:val="bottom"/>
          </w:tcPr>
          <w:p>
            <w:pPr>
              <w:pStyle w:val="Normal"/>
              <w:jc w:val="center"/>
              <w:rPr/>
            </w:pPr>
            <w:r>
              <w:rPr>
                <w:sz w:val="22"/>
              </w:rPr>
              <w:t>$12 + (Y</w:t>
            </w:r>
            <w:r>
              <w:rPr>
                <w:sz w:val="22"/>
                <w:vertAlign w:val="subscript"/>
              </w:rPr>
              <w:t xml:space="preserve">MF </w:t>
            </w:r>
            <w:r>
              <w:rPr>
                <w:sz w:val="22"/>
              </w:rPr>
              <w:t xml:space="preserve"> &amp; X</w:t>
            </w:r>
            <w:r>
              <w:rPr>
                <w:sz w:val="22"/>
                <w:vertAlign w:val="subscript"/>
              </w:rPr>
              <w:t xml:space="preserve">reduced </w:t>
            </w:r>
            <w:r>
              <w:rPr>
                <w:sz w:val="22"/>
              </w:rPr>
              <w:t>)</w:t>
            </w:r>
          </w:p>
        </w:tc>
        <w:tc>
          <w:tcPr>
            <w:tcW w:w="540" w:type="dxa"/>
            <w:vMerge w:val="continue"/>
            <w:tcBorders/>
            <w:vAlign w:val="bottom"/>
          </w:tcPr>
          <w:p>
            <w:pPr>
              <w:pStyle w:val="Normal"/>
              <w:snapToGrid w:val="false"/>
              <w:jc w:val="center"/>
              <w:rPr>
                <w:sz w:val="22"/>
              </w:rPr>
            </w:pPr>
            <w:r>
              <w:rPr>
                <w:sz w:val="22"/>
              </w:rPr>
            </w:r>
          </w:p>
        </w:tc>
        <w:tc>
          <w:tcPr>
            <w:tcW w:w="2608" w:type="dxa"/>
            <w:tcBorders>
              <w:top w:val="single" w:sz="4" w:space="0" w:color="000000"/>
              <w:bottom w:val="double" w:sz="4" w:space="0" w:color="000000"/>
            </w:tcBorders>
            <w:vAlign w:val="bottom"/>
          </w:tcPr>
          <w:p>
            <w:pPr>
              <w:pStyle w:val="Normal"/>
              <w:jc w:val="center"/>
              <w:rPr>
                <w:sz w:val="22"/>
              </w:rPr>
            </w:pPr>
            <w:r>
              <w:rPr>
                <w:sz w:val="22"/>
              </w:rPr>
              <w:t>$12 +</w:t>
            </w:r>
          </w:p>
          <w:p>
            <w:pPr>
              <w:pStyle w:val="Normal"/>
              <w:jc w:val="center"/>
              <w:rPr/>
            </w:pPr>
            <w:r>
              <w:rPr>
                <w:sz w:val="22"/>
              </w:rPr>
              <w:t>(Y</w:t>
            </w:r>
            <w:r>
              <w:rPr>
                <w:sz w:val="22"/>
                <w:vertAlign w:val="subscript"/>
              </w:rPr>
              <w:t xml:space="preserve">MF crazy </w:t>
            </w:r>
            <w:r>
              <w:rPr>
                <w:sz w:val="22"/>
              </w:rPr>
              <w:t>&amp; X</w:t>
            </w:r>
            <w:r>
              <w:rPr>
                <w:sz w:val="22"/>
                <w:vertAlign w:val="subscript"/>
              </w:rPr>
              <w:t xml:space="preserve">rmuted crazy </w:t>
            </w:r>
            <w:r>
              <w:rPr>
                <w:sz w:val="22"/>
              </w:rPr>
              <w:t>)</w:t>
            </w:r>
          </w:p>
        </w:tc>
      </w:tr>
      <w:tr>
        <w:trPr>
          <w:trHeight w:val="285" w:hRule="atLeast"/>
        </w:trPr>
        <w:tc>
          <w:tcPr>
            <w:tcW w:w="2808" w:type="dxa"/>
            <w:tcBorders>
              <w:bottom w:val="dotted" w:sz="2" w:space="0" w:color="000000"/>
            </w:tcBorders>
            <w:vAlign w:val="bottom"/>
          </w:tcPr>
          <w:p>
            <w:pPr>
              <w:pStyle w:val="Normal"/>
              <w:rPr>
                <w:sz w:val="22"/>
              </w:rPr>
            </w:pPr>
            <w:r>
              <w:rPr>
                <w:sz w:val="22"/>
              </w:rPr>
              <w:t>Revenue to IOU</w:t>
            </w:r>
          </w:p>
        </w:tc>
        <w:tc>
          <w:tcPr>
            <w:tcW w:w="1285" w:type="dxa"/>
            <w:tcBorders>
              <w:top w:val="double" w:sz="4" w:space="0" w:color="000000"/>
              <w:bottom w:val="double" w:sz="4" w:space="0" w:color="000000"/>
            </w:tcBorders>
            <w:vAlign w:val="bottom"/>
          </w:tcPr>
          <w:p>
            <w:pPr>
              <w:pStyle w:val="Normal"/>
              <w:jc w:val="center"/>
              <w:rPr>
                <w:sz w:val="22"/>
              </w:rPr>
            </w:pPr>
            <w:r>
              <w:rPr>
                <w:sz w:val="22"/>
              </w:rPr>
              <w:t>$10</w:t>
            </w:r>
          </w:p>
        </w:tc>
        <w:tc>
          <w:tcPr>
            <w:tcW w:w="425" w:type="dxa"/>
            <w:tcBorders>
              <w:bottom w:val="dotted" w:sz="2" w:space="0" w:color="000000"/>
            </w:tcBorders>
            <w:vAlign w:val="bottom"/>
          </w:tcPr>
          <w:p>
            <w:pPr>
              <w:pStyle w:val="Normal"/>
              <w:snapToGrid w:val="false"/>
              <w:jc w:val="center"/>
              <w:rPr>
                <w:sz w:val="22"/>
              </w:rPr>
            </w:pPr>
            <w:r>
              <w:rPr>
                <w:sz w:val="22"/>
              </w:rPr>
            </w:r>
          </w:p>
        </w:tc>
        <w:tc>
          <w:tcPr>
            <w:tcW w:w="1980" w:type="dxa"/>
            <w:tcBorders>
              <w:bottom w:val="dotted" w:sz="2" w:space="0" w:color="000000"/>
            </w:tcBorders>
            <w:vAlign w:val="bottom"/>
          </w:tcPr>
          <w:p>
            <w:pPr>
              <w:pStyle w:val="Normal"/>
              <w:snapToGrid w:val="false"/>
              <w:jc w:val="center"/>
              <w:rPr>
                <w:sz w:val="22"/>
              </w:rPr>
            </w:pPr>
            <w:r>
              <w:rPr>
                <w:sz w:val="22"/>
              </w:rPr>
            </w:r>
          </w:p>
        </w:tc>
        <w:tc>
          <w:tcPr>
            <w:tcW w:w="540" w:type="dxa"/>
            <w:tcBorders>
              <w:bottom w:val="dotted" w:sz="2" w:space="0" w:color="000000"/>
            </w:tcBorders>
            <w:vAlign w:val="bottom"/>
          </w:tcPr>
          <w:p>
            <w:pPr>
              <w:pStyle w:val="Normal"/>
              <w:snapToGrid w:val="false"/>
              <w:jc w:val="center"/>
              <w:rPr>
                <w:sz w:val="22"/>
              </w:rPr>
            </w:pPr>
            <w:r>
              <w:rPr>
                <w:sz w:val="22"/>
              </w:rPr>
            </w:r>
          </w:p>
        </w:tc>
        <w:tc>
          <w:tcPr>
            <w:tcW w:w="2880" w:type="dxa"/>
            <w:tcBorders>
              <w:top w:val="double" w:sz="4" w:space="0" w:color="000000"/>
              <w:bottom w:val="double" w:sz="4" w:space="0" w:color="000000"/>
            </w:tcBorders>
            <w:vAlign w:val="bottom"/>
          </w:tcPr>
          <w:p>
            <w:pPr>
              <w:pStyle w:val="Normal"/>
              <w:jc w:val="center"/>
              <w:rPr>
                <w:sz w:val="22"/>
              </w:rPr>
            </w:pPr>
            <w:r>
              <w:rPr>
                <w:sz w:val="22"/>
              </w:rPr>
              <w:t>$10</w:t>
            </w:r>
          </w:p>
        </w:tc>
        <w:tc>
          <w:tcPr>
            <w:tcW w:w="540" w:type="dxa"/>
            <w:tcBorders>
              <w:bottom w:val="dotted" w:sz="2" w:space="0" w:color="000000"/>
            </w:tcBorders>
            <w:vAlign w:val="bottom"/>
          </w:tcPr>
          <w:p>
            <w:pPr>
              <w:pStyle w:val="Normal"/>
              <w:snapToGrid w:val="false"/>
              <w:jc w:val="center"/>
              <w:rPr>
                <w:sz w:val="22"/>
              </w:rPr>
            </w:pPr>
            <w:r>
              <w:rPr>
                <w:sz w:val="22"/>
              </w:rPr>
            </w:r>
          </w:p>
        </w:tc>
        <w:tc>
          <w:tcPr>
            <w:tcW w:w="2608" w:type="dxa"/>
            <w:tcBorders>
              <w:top w:val="double" w:sz="4" w:space="0" w:color="000000"/>
              <w:bottom w:val="double" w:sz="4" w:space="0" w:color="000000"/>
            </w:tcBorders>
            <w:vAlign w:val="bottom"/>
          </w:tcPr>
          <w:p>
            <w:pPr>
              <w:pStyle w:val="Normal"/>
              <w:jc w:val="center"/>
              <w:rPr>
                <w:sz w:val="22"/>
              </w:rPr>
            </w:pPr>
            <w:r>
              <w:rPr>
                <w:sz w:val="22"/>
              </w:rPr>
              <w:t>$10</w:t>
            </w:r>
          </w:p>
        </w:tc>
      </w:tr>
      <w:tr>
        <w:trPr>
          <w:trHeight w:val="510" w:hRule="atLeast"/>
        </w:trPr>
        <w:tc>
          <w:tcPr>
            <w:tcW w:w="2808" w:type="dxa"/>
            <w:tcBorders>
              <w:top w:val="dotted" w:sz="2" w:space="0" w:color="000000"/>
              <w:bottom w:val="thinThickSmallGap" w:sz="24" w:space="0" w:color="000000"/>
            </w:tcBorders>
            <w:vAlign w:val="bottom"/>
          </w:tcPr>
          <w:p>
            <w:pPr>
              <w:pStyle w:val="Normal"/>
              <w:rPr>
                <w:color w:val="FF0000"/>
                <w:sz w:val="22"/>
              </w:rPr>
            </w:pPr>
            <w:r>
              <w:rPr>
                <w:color w:val="FF0000"/>
                <w:sz w:val="22"/>
              </w:rPr>
              <w:t>Potential Rate Increase</w:t>
            </w:r>
          </w:p>
        </w:tc>
        <w:tc>
          <w:tcPr>
            <w:tcW w:w="1285" w:type="dxa"/>
            <w:tcBorders>
              <w:top w:val="double" w:sz="4" w:space="0" w:color="000000"/>
              <w:bottom w:val="thinThickSmallGap" w:sz="24" w:space="0" w:color="000000"/>
            </w:tcBorders>
            <w:vAlign w:val="bottom"/>
          </w:tcPr>
          <w:p>
            <w:pPr>
              <w:pStyle w:val="Normal"/>
              <w:jc w:val="center"/>
              <w:rPr>
                <w:color w:val="FF0000"/>
                <w:sz w:val="22"/>
              </w:rPr>
            </w:pPr>
            <w:r>
              <w:rPr>
                <w:color w:val="FF0000"/>
                <w:sz w:val="22"/>
              </w:rPr>
              <w:t>--</w:t>
            </w:r>
          </w:p>
        </w:tc>
        <w:tc>
          <w:tcPr>
            <w:tcW w:w="425" w:type="dxa"/>
            <w:tcBorders>
              <w:top w:val="dotted" w:sz="2" w:space="0" w:color="000000"/>
              <w:bottom w:val="thinThickSmallGap" w:sz="24" w:space="0" w:color="000000"/>
            </w:tcBorders>
            <w:vAlign w:val="bottom"/>
          </w:tcPr>
          <w:p>
            <w:pPr>
              <w:pStyle w:val="Normal"/>
              <w:snapToGrid w:val="false"/>
              <w:jc w:val="center"/>
              <w:rPr>
                <w:color w:val="FF0000"/>
                <w:sz w:val="22"/>
              </w:rPr>
            </w:pPr>
            <w:r>
              <w:rPr>
                <w:color w:val="FF0000"/>
                <w:sz w:val="22"/>
              </w:rPr>
            </w:r>
          </w:p>
        </w:tc>
        <w:tc>
          <w:tcPr>
            <w:tcW w:w="1980" w:type="dxa"/>
            <w:tcBorders>
              <w:top w:val="dotted" w:sz="2" w:space="0" w:color="000000"/>
              <w:bottom w:val="thinThickSmallGap" w:sz="24" w:space="0" w:color="000000"/>
            </w:tcBorders>
            <w:vAlign w:val="bottom"/>
          </w:tcPr>
          <w:p>
            <w:pPr>
              <w:pStyle w:val="Normal"/>
              <w:snapToGrid w:val="false"/>
              <w:jc w:val="center"/>
              <w:rPr>
                <w:color w:val="FF0000"/>
                <w:sz w:val="22"/>
              </w:rPr>
            </w:pPr>
            <w:r>
              <w:rPr>
                <w:color w:val="FF0000"/>
                <w:sz w:val="22"/>
              </w:rPr>
            </w:r>
          </w:p>
        </w:tc>
        <w:tc>
          <w:tcPr>
            <w:tcW w:w="540" w:type="dxa"/>
            <w:tcBorders>
              <w:top w:val="dotted" w:sz="2" w:space="0" w:color="000000"/>
              <w:bottom w:val="thinThickSmallGap" w:sz="24" w:space="0" w:color="000000"/>
            </w:tcBorders>
            <w:vAlign w:val="bottom"/>
          </w:tcPr>
          <w:p>
            <w:pPr>
              <w:pStyle w:val="Normal"/>
              <w:snapToGrid w:val="false"/>
              <w:jc w:val="center"/>
              <w:rPr>
                <w:color w:val="FF0000"/>
                <w:sz w:val="22"/>
              </w:rPr>
            </w:pPr>
            <w:r>
              <w:rPr>
                <w:color w:val="FF0000"/>
                <w:sz w:val="22"/>
              </w:rPr>
            </w:r>
          </w:p>
        </w:tc>
        <w:tc>
          <w:tcPr>
            <w:tcW w:w="2880" w:type="dxa"/>
            <w:tcBorders>
              <w:top w:val="double" w:sz="4" w:space="0" w:color="000000"/>
              <w:bottom w:val="thinThickSmallGap" w:sz="24" w:space="0" w:color="000000"/>
            </w:tcBorders>
            <w:vAlign w:val="bottom"/>
          </w:tcPr>
          <w:p>
            <w:pPr>
              <w:pStyle w:val="Normal"/>
              <w:jc w:val="center"/>
              <w:rPr>
                <w:color w:val="FF0000"/>
                <w:sz w:val="22"/>
              </w:rPr>
            </w:pPr>
            <w:r>
              <w:rPr>
                <w:color w:val="FF0000"/>
                <w:sz w:val="22"/>
              </w:rPr>
              <w:t>$2 plus Market Forces less Benefit Sharting</w:t>
            </w:r>
          </w:p>
        </w:tc>
        <w:tc>
          <w:tcPr>
            <w:tcW w:w="540" w:type="dxa"/>
            <w:tcBorders>
              <w:top w:val="dotted" w:sz="2" w:space="0" w:color="000000"/>
              <w:bottom w:val="thinThickSmallGap" w:sz="24" w:space="0" w:color="000000"/>
            </w:tcBorders>
            <w:vAlign w:val="bottom"/>
          </w:tcPr>
          <w:p>
            <w:pPr>
              <w:pStyle w:val="Normal"/>
              <w:snapToGrid w:val="false"/>
              <w:jc w:val="center"/>
              <w:rPr>
                <w:color w:val="FF0000"/>
                <w:sz w:val="22"/>
              </w:rPr>
            </w:pPr>
            <w:r>
              <w:rPr>
                <w:color w:val="FF0000"/>
                <w:sz w:val="22"/>
              </w:rPr>
            </w:r>
          </w:p>
        </w:tc>
        <w:tc>
          <w:tcPr>
            <w:tcW w:w="2608" w:type="dxa"/>
            <w:tcBorders>
              <w:top w:val="double" w:sz="4" w:space="0" w:color="000000"/>
              <w:bottom w:val="thinThickSmallGap" w:sz="24" w:space="0" w:color="000000"/>
            </w:tcBorders>
            <w:vAlign w:val="bottom"/>
          </w:tcPr>
          <w:p>
            <w:pPr>
              <w:pStyle w:val="Normal"/>
              <w:jc w:val="center"/>
              <w:rPr>
                <w:color w:val="FF0000"/>
                <w:sz w:val="22"/>
              </w:rPr>
            </w:pPr>
            <w:r>
              <w:rPr>
                <w:color w:val="FF0000"/>
                <w:sz w:val="22"/>
              </w:rPr>
              <w:t>$2 + $$$$</w:t>
            </w:r>
          </w:p>
        </w:tc>
      </w:tr>
    </w:tbl>
    <w:p>
      <w:pPr>
        <w:pStyle w:val="Normal"/>
        <w:rPr/>
      </w:pPr>
      <w:r>
        <w:rPr/>
      </w:r>
    </w:p>
    <w:sectPr>
      <w:type w:val="nextPage"/>
      <w:pgSz w:orient="landscape" w:w="15840" w:h="12240"/>
      <w:pgMar w:left="1152" w:right="1152" w:gutter="0" w:header="0" w:top="360" w:footer="0" w:bottom="4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numFmt w:val="bullet"/>
      <w:lvlText w:val=""/>
      <w:lvlJc w:val="start"/>
      <w:pPr>
        <w:tabs>
          <w:tab w:val="num" w:pos="405"/>
        </w:tabs>
        <w:ind w:start="405" w:hanging="360"/>
      </w:pPr>
      <w:rPr>
        <w:rFonts w:ascii="Wingdings" w:hAnsi="Wingdings" w:cs="Wingdings" w:hint="default"/>
      </w:rPr>
    </w:lvl>
  </w:abstractNum>
  <w:abstractNum w:abstractNumId="4">
    <w:lvl w:ilvl="0">
      <w:numFmt w:val="bullet"/>
      <w:lvlText w:val=""/>
      <w:lvlJc w:val="start"/>
      <w:pPr>
        <w:tabs>
          <w:tab w:val="num" w:pos="405"/>
        </w:tabs>
        <w:ind w:start="405"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405"/>
        </w:tabs>
        <w:ind w:start="405" w:hanging="360"/>
      </w:pPr>
      <w:rPr>
        <w:rFonts w:ascii="Wingdings" w:hAnsi="Wingdings" w:cs="Wingdings"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405"/>
        </w:tabs>
        <w:ind w:start="405"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sz w:val="28"/>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color w:val="0000FF"/>
      <w:sz w:val="24"/>
    </w:rPr>
  </w:style>
  <w:style w:type="paragraph" w:styleId="Heading5">
    <w:name w:val="heading 5"/>
    <w:basedOn w:val="Normal"/>
    <w:next w:val="Normal"/>
    <w:qFormat/>
    <w:pPr>
      <w:keepNext w:val="true"/>
      <w:numPr>
        <w:ilvl w:val="4"/>
        <w:numId w:val="1"/>
      </w:numPr>
      <w:outlineLvl w:val="4"/>
    </w:pPr>
    <w:rPr>
      <w:b/>
      <w:color w:val="0000FF"/>
      <w:sz w:val="24"/>
    </w:rPr>
  </w:style>
  <w:style w:type="paragraph" w:styleId="Heading6">
    <w:name w:val="heading 6"/>
    <w:basedOn w:val="Normal"/>
    <w:next w:val="Normal"/>
    <w:qFormat/>
    <w:pPr>
      <w:keepNext w:val="true"/>
      <w:numPr>
        <w:ilvl w:val="5"/>
        <w:numId w:val="1"/>
      </w:numPr>
      <w:outlineLvl w:val="5"/>
    </w:pPr>
    <w:rPr>
      <w:b/>
      <w:sz w:val="24"/>
    </w:rPr>
  </w:style>
  <w:style w:type="paragraph" w:styleId="Heading7">
    <w:name w:val="heading 7"/>
    <w:basedOn w:val="Normal"/>
    <w:next w:val="Normal"/>
    <w:qFormat/>
    <w:pPr>
      <w:keepNext w:val="true"/>
      <w:numPr>
        <w:ilvl w:val="6"/>
        <w:numId w:val="1"/>
      </w:numPr>
      <w:outlineLvl w:val="6"/>
    </w:pPr>
    <w:rPr>
      <w:i/>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2000-12-08T17:46:00Z</dcterms:created>
  <dc:creator>Tamara Johnson</dc:creator>
  <dc:description/>
  <dc:language>en-CA</dc:language>
  <cp:lastModifiedBy>Tamara Johnson</cp:lastModifiedBy>
  <cp:lastPrinted>2000-12-11T10:26:00Z</cp:lastPrinted>
  <dcterms:modified xsi:type="dcterms:W3CDTF">2000-12-13T17:29:00Z</dcterms:modified>
  <cp:revision>95</cp:revision>
  <dc:subject/>
  <dc:title>ISSUES</dc:title>
</cp:coreProperties>
</file>