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Arial" w:hAnsi="Arial" w:cs="Arial"/>
          <w:color w:val="000000"/>
          <w:sz w:val="18"/>
        </w:rPr>
      </w:pPr>
      <w:r>
        <w:rPr>
          <w:rFonts w:cs="Arial" w:ascii="Arial" w:hAnsi="Arial"/>
        </w:rPr>
        <w:t>UK Natural Gas</w:t>
      </w:r>
    </w:p>
    <w:p>
      <w:pPr>
        <w:pStyle w:val="H3"/>
        <w:rPr/>
      </w:pPr>
      <w:r>
        <w:rPr/>
        <w:t>Market Hours</w:t>
      </w:r>
    </w:p>
    <w:tbl>
      <w:tblPr>
        <w:tblW w:w="9358" w:type="dxa"/>
        <w:jc w:val="start"/>
        <w:tblInd w:w="30" w:type="dxa"/>
        <w:tblLayout w:type="fixed"/>
        <w:tblCellMar>
          <w:top w:w="0" w:type="dxa"/>
          <w:start w:w="30" w:type="dxa"/>
          <w:bottom w:w="0" w:type="dxa"/>
          <w:end w:w="30" w:type="dxa"/>
        </w:tblCellMar>
      </w:tblPr>
      <w:tblGrid>
        <w:gridCol w:w="2209"/>
        <w:gridCol w:w="860"/>
        <w:gridCol w:w="860"/>
        <w:gridCol w:w="1197"/>
        <w:gridCol w:w="4232"/>
      </w:tblGrid>
      <w:tr>
        <w:trPr/>
        <w:tc>
          <w:tcPr>
            <w:tcW w:w="2209" w:type="dxa"/>
            <w:tcBorders/>
          </w:tcPr>
          <w:p>
            <w:pPr>
              <w:pStyle w:val="Normal"/>
              <w:rPr>
                <w:rFonts w:ascii="Arial" w:hAnsi="Arial" w:cs="Arial"/>
                <w:color w:val="000000"/>
              </w:rPr>
            </w:pPr>
            <w:r>
              <w:rPr>
                <w:rFonts w:cs="Arial" w:ascii="Arial" w:hAnsi="Arial"/>
                <w:b/>
                <w:color w:val="000000"/>
              </w:rPr>
              <w:t>Product Group</w:t>
            </w:r>
          </w:p>
        </w:tc>
        <w:tc>
          <w:tcPr>
            <w:tcW w:w="860" w:type="dxa"/>
            <w:tcBorders/>
          </w:tcPr>
          <w:p>
            <w:pPr>
              <w:pStyle w:val="Normal"/>
              <w:rPr>
                <w:rFonts w:ascii="Arial" w:hAnsi="Arial" w:cs="Arial"/>
                <w:color w:val="000000"/>
              </w:rPr>
            </w:pPr>
            <w:r>
              <w:rPr>
                <w:rFonts w:cs="Arial" w:ascii="Arial" w:hAnsi="Arial"/>
                <w:b/>
                <w:color w:val="000000"/>
              </w:rPr>
              <w:t>From</w:t>
            </w:r>
          </w:p>
        </w:tc>
        <w:tc>
          <w:tcPr>
            <w:tcW w:w="860" w:type="dxa"/>
            <w:tcBorders/>
          </w:tcPr>
          <w:p>
            <w:pPr>
              <w:pStyle w:val="Normal"/>
              <w:rPr>
                <w:rFonts w:ascii="Arial" w:hAnsi="Arial" w:cs="Arial"/>
                <w:color w:val="000000"/>
              </w:rPr>
            </w:pPr>
            <w:r>
              <w:rPr>
                <w:rFonts w:cs="Arial" w:ascii="Arial" w:hAnsi="Arial"/>
                <w:b/>
                <w:color w:val="000000"/>
              </w:rPr>
              <w:t>To</w:t>
            </w:r>
          </w:p>
        </w:tc>
        <w:tc>
          <w:tcPr>
            <w:tcW w:w="1197" w:type="dxa"/>
            <w:tcBorders/>
          </w:tcPr>
          <w:p>
            <w:pPr>
              <w:pStyle w:val="Normal"/>
              <w:rPr>
                <w:rFonts w:ascii="Arial" w:hAnsi="Arial" w:cs="Arial"/>
                <w:color w:val="000000"/>
              </w:rPr>
            </w:pPr>
            <w:r>
              <w:rPr>
                <w:rFonts w:cs="Arial" w:ascii="Arial" w:hAnsi="Arial"/>
                <w:b/>
                <w:color w:val="000000"/>
              </w:rPr>
              <w:t>Days</w:t>
            </w:r>
          </w:p>
        </w:tc>
        <w:tc>
          <w:tcPr>
            <w:tcW w:w="4232" w:type="dxa"/>
            <w:tcBorders/>
          </w:tcPr>
          <w:p>
            <w:pPr>
              <w:pStyle w:val="Normal"/>
              <w:rPr>
                <w:rFonts w:ascii="Arial" w:hAnsi="Arial" w:cs="Arial"/>
                <w:color w:val="000000"/>
              </w:rPr>
            </w:pPr>
            <w:r>
              <w:rPr>
                <w:rFonts w:cs="Arial" w:ascii="Arial" w:hAnsi="Arial"/>
                <w:b/>
                <w:color w:val="000000"/>
              </w:rPr>
              <w:t>Time Zone</w:t>
            </w:r>
          </w:p>
        </w:tc>
      </w:tr>
      <w:tr>
        <w:trPr/>
        <w:tc>
          <w:tcPr>
            <w:tcW w:w="2209" w:type="dxa"/>
            <w:tcBorders/>
          </w:tcPr>
          <w:p>
            <w:pPr>
              <w:pStyle w:val="Normal"/>
              <w:rPr>
                <w:rFonts w:ascii="Arial" w:hAnsi="Arial" w:cs="Arial"/>
                <w:color w:val="000000"/>
              </w:rPr>
            </w:pPr>
            <w:r>
              <w:rPr>
                <w:rFonts w:cs="Arial" w:ascii="Arial" w:hAnsi="Arial"/>
                <w:color w:val="000000"/>
              </w:rPr>
              <w:t>All products</w:t>
            </w:r>
          </w:p>
        </w:tc>
        <w:tc>
          <w:tcPr>
            <w:tcW w:w="860" w:type="dxa"/>
            <w:tcBorders/>
          </w:tcPr>
          <w:p>
            <w:pPr>
              <w:pStyle w:val="Normal"/>
              <w:rPr>
                <w:rFonts w:ascii="Arial" w:hAnsi="Arial" w:cs="Arial"/>
                <w:color w:val="000000"/>
              </w:rPr>
            </w:pPr>
            <w:r>
              <w:rPr>
                <w:rFonts w:cs="Arial" w:ascii="Arial" w:hAnsi="Arial"/>
                <w:color w:val="000000"/>
              </w:rPr>
              <w:t>08:00</w:t>
            </w:r>
          </w:p>
        </w:tc>
        <w:tc>
          <w:tcPr>
            <w:tcW w:w="860" w:type="dxa"/>
            <w:tcBorders/>
          </w:tcPr>
          <w:p>
            <w:pPr>
              <w:pStyle w:val="Normal"/>
              <w:rPr>
                <w:rFonts w:ascii="Arial" w:hAnsi="Arial" w:cs="Arial"/>
                <w:color w:val="000000"/>
              </w:rPr>
            </w:pPr>
            <w:r>
              <w:rPr>
                <w:rFonts w:cs="Arial" w:ascii="Arial" w:hAnsi="Arial"/>
                <w:color w:val="000000"/>
              </w:rPr>
              <w:t>17:00</w:t>
            </w:r>
          </w:p>
        </w:tc>
        <w:tc>
          <w:tcPr>
            <w:tcW w:w="1197" w:type="dxa"/>
            <w:tcBorders/>
          </w:tcPr>
          <w:p>
            <w:pPr>
              <w:pStyle w:val="Normal"/>
              <w:rPr>
                <w:rFonts w:ascii="Arial" w:hAnsi="Arial" w:cs="Arial"/>
                <w:color w:val="000000"/>
              </w:rPr>
            </w:pPr>
            <w:r>
              <w:rPr>
                <w:rFonts w:cs="Arial" w:ascii="Arial" w:hAnsi="Arial"/>
                <w:color w:val="000000"/>
              </w:rPr>
              <w:t>Mon-Fri</w:t>
            </w:r>
          </w:p>
        </w:tc>
        <w:tc>
          <w:tcPr>
            <w:tcW w:w="4232" w:type="dxa"/>
            <w:tcBorders/>
          </w:tcPr>
          <w:p>
            <w:pPr>
              <w:pStyle w:val="Normal"/>
              <w:rPr>
                <w:rFonts w:ascii="Arial" w:hAnsi="Arial" w:cs="Arial"/>
                <w:color w:val="000000"/>
              </w:rPr>
            </w:pPr>
            <w:r>
              <w:rPr>
                <w:rFonts w:cs="Arial" w:ascii="Arial" w:hAnsi="Arial"/>
                <w:color w:val="000000"/>
              </w:rPr>
              <w:t>Greenwich Mean Time (GMT)</w:t>
            </w:r>
          </w:p>
        </w:tc>
      </w:tr>
    </w:tbl>
    <w:p>
      <w:pPr>
        <w:pStyle w:val="H3"/>
        <w:rPr>
          <w:rFonts w:ascii="Arial" w:hAnsi="Arial" w:cs="Arial"/>
          <w:color w:val="000000"/>
        </w:rPr>
      </w:pPr>
      <w:r>
        <w:rPr>
          <w:rFonts w:cs="Arial" w:ascii="Arial" w:hAnsi="Arial"/>
          <w:color w:val="000000"/>
        </w:rPr>
        <w:t>Background</w:t>
      </w:r>
    </w:p>
    <w:p>
      <w:pPr>
        <w:pStyle w:val="Normal"/>
        <w:rPr>
          <w:rFonts w:ascii="Arial" w:hAnsi="Arial" w:cs="Arial"/>
          <w:color w:val="000000"/>
        </w:rPr>
      </w:pPr>
      <w:r>
        <w:rPr>
          <w:rFonts w:cs="Arial" w:ascii="Arial" w:hAnsi="Arial"/>
          <w:color w:val="000000"/>
        </w:rPr>
        <w:t>Over the last ten years, the UK natural gas market has developed from an integrated monopoly business to a competitive market, thereby leading the way for gas markets across Europe. All gas users, including 20 million household customers, can choose their supplier of gas from a range of marketers. In the same period, gas demand has increased by almost 50%, predominantly due to a surge in the use of gas for power generation. The emergence of new marketers and generators has created a demand for price risk management products and has encouraged the development of a traded market.</w:t>
      </w:r>
    </w:p>
    <w:p>
      <w:pPr>
        <w:pStyle w:val="Normal"/>
        <w:rPr>
          <w:rFonts w:ascii="Arial" w:hAnsi="Arial" w:cs="Arial"/>
          <w:color w:val="000000"/>
        </w:rPr>
      </w:pPr>
      <w:r>
        <w:rPr>
          <w:rFonts w:cs="Arial" w:ascii="Arial" w:hAnsi="Arial"/>
          <w:color w:val="000000"/>
        </w:rPr>
        <w:t>Despite the introduction of competition through legislation, British Gas had in 1989 retained a monopoly in the transportation and sales of gas. In order to safeguard their development costs, many producers entered into “life of field” (or dedicated depletion) contracts with British Gas at fixed base prices escalated in accordance with a basket of indices and often incorporating high levels of “take-or-pay”.</w:t>
      </w:r>
    </w:p>
    <w:p>
      <w:pPr>
        <w:pStyle w:val="Normal"/>
        <w:rPr>
          <w:rFonts w:ascii="Arial" w:hAnsi="Arial" w:cs="Arial"/>
          <w:color w:val="000000"/>
        </w:rPr>
      </w:pPr>
      <w:r>
        <w:rPr>
          <w:rFonts w:cs="Arial" w:ascii="Arial" w:hAnsi="Arial"/>
          <w:color w:val="000000"/>
        </w:rPr>
        <w:t>The UK gas regulator, OFGAS (now known as Ofgem), sought to promote further competition by barring British Gas from buying the full output of any new gas fields. In response, some producers set up marketing companies to sell direct to end-users in competition with British Gas, whilst others looked to power generators as gas buyers. The sales to power generators, and those to the new, non-producer marketers (who emerged soon after) tended to be concluded on the same long term, fixed price basis as the traditional British Gas contracts.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OFGAS continued to promote the emerging competitive market by compelling British Gas to re-sell some of its contracted gas through the “Release Gas” program and by extending the competitive market to smaller commercial consumers. Short term trading of gas, however, was limited until the spring of 1995 when increasingly aggressive competition between the marketers pointed to an oversupply; and in certain cases, this forced some marketers, generators and producers to trade out of long positions as the market price fell. Budding trading activity was soon supported by telephone brokers and news reporting journals, adding transparency and liquidity to the market.</w:t>
      </w:r>
    </w:p>
    <w:p>
      <w:pPr>
        <w:pStyle w:val="Normal"/>
        <w:rPr>
          <w:rFonts w:ascii="Arial" w:hAnsi="Arial" w:cs="Arial"/>
          <w:color w:val="000000"/>
        </w:rPr>
      </w:pPr>
      <w:r>
        <w:rPr>
          <w:rFonts w:cs="Arial" w:ascii="Arial" w:hAnsi="Arial"/>
          <w:color w:val="000000"/>
        </w:rPr>
        <w:t xml:space="preserve">The introduction in early 1996 of the Network Code provided further stimulus to the developing market. The Network Code was introduced following the recommendation of the Monopolies and Merger Commission Report in 1993 that an equitable operating regime should be applied to all parties transporting gas through British Gas's transportation division (known today as Transco). The Network Code replaced the bilateral contracts between Transco and the shippers and introduced a requirement on all shippers to match, on a daily basis, the amount of gas inputted by shippers with that offtaken by customers. Any imbalance between gas inputs and offtakes from the system was managed by Transco through the “Flexibility Mechanism”, under which shippers posted offers to buy and sell gas to Transco. This balancing requirement significantly increased short-term volatility, which in extreme cases gave rise to within-day price deviations of up to £5 per therm. The Network Code also introduced a notional trading point (the National Balancing Point or NBP), which has increased market liquidity by aggregating traditional supply points to one trading hub equally accessible to all shippers.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In October 1999 following an Ofgem sponsored “Review of Gas Trading” (RGTA) the flexibility  mechanism was replaced as Transco’s balancing tool by an anonymous, cleared,  screen-based system , known as the On-the-Day Commodity Market (OCM).  As well as allowing Transco to buy and sell gas from shippers, the OCM also supports shipper to shipper trading.  RGTA also introduced “firm” entry capacity rights and introduced six monthly entry capacity auctions at the major entry points into Transco’s network.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rapid development of the market throughout 1996 gave rise to the launch by the International Petroleum Exchange (IPE) of its Natural Gas (NBP) Contract in January 1997. This contract is traded through a screen-based transaction facility, and not through the traditional open outcry method. Open contracts are settled through delivery at the NBP.</w:t>
      </w:r>
    </w:p>
    <w:p>
      <w:pPr>
        <w:pStyle w:val="Normal"/>
        <w:rPr>
          <w:rFonts w:ascii="Arial" w:hAnsi="Arial" w:cs="Arial"/>
          <w:color w:val="000000"/>
        </w:rPr>
      </w:pPr>
      <w:r>
        <w:rPr>
          <w:rFonts w:cs="Arial" w:ascii="Arial" w:hAnsi="Arial"/>
          <w:color w:val="000000"/>
        </w:rPr>
        <w:t>In the past, storage use has been restricted by the fact that BG Storage was still a monopoly and had a cost-based pricing methodology. For this storage year, starting in May 1999, storage has been auctioned in bundles of injectability, withdrawal and space, all of which are tradable separately. However, whilst some restrictions remain (BG storage set the minimum price for the auction), the overall effect is likely to lead to a greater commercial use of storage facilities. Additionally, virtual storage, which replicates physical storage, has now been available in the market.</w:t>
      </w:r>
    </w:p>
    <w:p>
      <w:pPr>
        <w:pStyle w:val="Normal"/>
        <w:rPr>
          <w:rFonts w:ascii="Arial" w:hAnsi="Arial" w:cs="Arial"/>
          <w:color w:val="000000"/>
        </w:rPr>
      </w:pPr>
      <w:r>
        <w:rPr>
          <w:rFonts w:cs="Arial" w:ascii="Arial" w:hAnsi="Arial"/>
          <w:color w:val="000000"/>
        </w:rPr>
      </w:r>
    </w:p>
    <w:p>
      <w:pPr>
        <w:pStyle w:val="H3"/>
        <w:rPr>
          <w:rFonts w:ascii="Arial" w:hAnsi="Arial" w:cs="Arial"/>
          <w:color w:val="000000"/>
        </w:rPr>
      </w:pPr>
      <w:r>
        <w:rPr>
          <w:rFonts w:cs="Arial" w:ascii="Arial" w:hAnsi="Arial"/>
          <w:color w:val="000000"/>
        </w:rPr>
        <w:t>Current Market</w:t>
      </w:r>
    </w:p>
    <w:p>
      <w:pPr>
        <w:pStyle w:val="Normal"/>
        <w:rPr>
          <w:rFonts w:ascii="Arial" w:hAnsi="Arial" w:cs="Arial"/>
          <w:color w:val="000000"/>
        </w:rPr>
      </w:pPr>
      <w:r>
        <w:rPr>
          <w:rFonts w:cs="Arial" w:ascii="Arial" w:hAnsi="Arial"/>
          <w:color w:val="000000"/>
        </w:rPr>
        <w:t>The UK spot gas market trades at a ratio of approximately 150% of the total UK gas demand. The over-the-counter market continues to dominate forward trading, with at least 75% of the spot market, and although many traders still deal direct with each other, a significant portion of business is transacted through the numerous brokers. Part of this growth has been due to an increase in the number of active participants in the spot market from only 10 or so in 1995 to over 40 in 1999. These comprise producers, gas marketing companies, generators, regional electricity companies, trading houses, banks and Transco.</w:t>
      </w:r>
    </w:p>
    <w:p>
      <w:pPr>
        <w:pStyle w:val="Normal"/>
        <w:rPr>
          <w:rFonts w:ascii="Arial" w:hAnsi="Arial" w:cs="Arial"/>
          <w:color w:val="000000"/>
        </w:rPr>
      </w:pPr>
      <w:r>
        <w:rPr>
          <w:rFonts w:cs="Arial" w:ascii="Arial" w:hAnsi="Arial"/>
          <w:color w:val="000000"/>
        </w:rPr>
        <w:t>Although physical forward trading still dominates activity, 1998 has seen the emergence of a varied and liquid physical and financial options market. The liquid trading period for options has gradually been extended out to 3 years, and the average trade size is 25,000 Therms/day for forward contracts, and trades of 50,000 to 100,000 Therms regularly trade within day.</w:t>
      </w:r>
    </w:p>
    <w:p>
      <w:pPr>
        <w:pStyle w:val="Normal"/>
        <w:rPr>
          <w:rFonts w:ascii="Arial" w:hAnsi="Arial" w:cs="Arial"/>
          <w:color w:val="000000"/>
        </w:rPr>
      </w:pPr>
      <w:r>
        <w:rPr>
          <w:rFonts w:cs="Arial" w:ascii="Arial" w:hAnsi="Arial"/>
          <w:color w:val="000000"/>
        </w:rPr>
        <w:t xml:space="preserve">Gas market prices exhibit natural seasonal swings, with winter gas generally being more expensive than summer gas. This is largely due to the nature of domestic and commercial consumption in the UK where gas is the primary source of fuel for heating. </w:t>
      </w:r>
    </w:p>
    <w:p>
      <w:pPr>
        <w:pStyle w:val="Normal"/>
        <w:rPr>
          <w:rFonts w:ascii="Arial" w:hAnsi="Arial" w:cs="Arial"/>
          <w:color w:val="000000"/>
        </w:rPr>
      </w:pPr>
      <w:r>
        <w:rPr>
          <w:rFonts w:cs="Arial" w:ascii="Arial" w:hAnsi="Arial"/>
          <w:color w:val="000000"/>
        </w:rPr>
        <w:t>Gas can be bought and sold at a number of different locations in the UK, e.g. Teesside, Bacton and St. Fergus are all traded “beach” locations. The NBP is a virtual hub and is a market standard location from which most gas is traded in the market. The National Transmission System (NTS) is the main high-pressure pipeline network used to transport gas from beach locations to end-users. Commercial and industrial users may be connected direct to the NTS, whilst residential consumers are supplied through the Regional Transmission System (RTS) which is in turn linked to the NTS.</w:t>
      </w:r>
    </w:p>
    <w:p>
      <w:pPr>
        <w:pStyle w:val="H3"/>
        <w:rPr>
          <w:rFonts w:ascii="Arial" w:hAnsi="Arial" w:cs="Arial"/>
          <w:color w:val="000000"/>
        </w:rPr>
      </w:pPr>
      <w:r>
        <w:rPr>
          <w:rFonts w:cs="Arial" w:ascii="Arial" w:hAnsi="Arial"/>
          <w:color w:val="000000"/>
        </w:rPr>
        <w:t>Significant Future Developments</w:t>
      </w:r>
    </w:p>
    <w:p>
      <w:pPr>
        <w:pStyle w:val="Normal"/>
        <w:rPr>
          <w:rFonts w:ascii="Arial" w:hAnsi="Arial" w:cs="Arial"/>
          <w:color w:val="000000"/>
        </w:rPr>
      </w:pPr>
      <w:r>
        <w:rPr>
          <w:rFonts w:cs="Arial" w:ascii="Arial" w:hAnsi="Arial"/>
          <w:color w:val="000000"/>
        </w:rPr>
        <w:t>The opening of the UK-Belgian Interconnector in October 1998 has had a subtle but wide reaching implication on the UK gas market. During winter 1998, the Interconnector had a huge impact on UK winter prices, resulting in a “reverse” flow shortly after the start of commercial operations. In essence, the newly developed UK gas market experienced for the first time the effect of external factors and was treated to a convincing display of market forces as the Interconnector carried low-priced European gas into the UK. The Interconnector was originally designed to flow out of the UK to counter an excess of supply caused by high prices early in the 1990s. This in turn is leading to an additional trading hub at Zeebrugge, Belgium, and the development of a continental basis market as other natural hubs start trading in their own right.</w:t>
      </w:r>
    </w:p>
    <w:p>
      <w:pPr>
        <w:pStyle w:val="Normal"/>
        <w:rPr>
          <w:rFonts w:ascii="Arial" w:hAnsi="Arial" w:cs="Arial"/>
          <w:color w:val="000000"/>
        </w:rPr>
      </w:pPr>
      <w:r>
        <w:rPr>
          <w:rFonts w:cs="Arial" w:ascii="Arial" w:hAnsi="Arial"/>
          <w:color w:val="000000"/>
        </w:rPr>
        <w:br/>
        <w:t>There is continuing impetus for regulatory reform of the Network Code. The initial RGTA programme has been continued on a six monthly basis with RGTA2&amp;3.  Ofgem has also begun initial consultations on its periodic review of Transco’s price control (which determines Transco’s revenue cap) which will be implemented in April 2002.The UK government is currently enforcing a policy of restricting planning approval on new gas-fired power generation. The UK government has announced that this policy will be lifted following the introduction of the New Electricity Trading Arrangements (NETA).</w:t>
        <w:br/>
      </w:r>
    </w:p>
    <w:p>
      <w:pPr>
        <w:pStyle w:val="Normal"/>
        <w:rPr>
          <w:rFonts w:ascii="Arial" w:hAnsi="Arial" w:cs="Arial"/>
          <w:color w:val="000000"/>
        </w:rPr>
      </w:pPr>
      <w:r>
        <w:rPr>
          <w:rFonts w:cs="Arial" w:ascii="Arial" w:hAnsi="Arial"/>
          <w:color w:val="000000"/>
        </w:rPr>
        <w:t>The complexity of traded products is expected to grow and it is likely that there will be exchange-traded options over the next few years. It is also likely that there will be more liquidity on the long dated curve ensuring more transparent prices for those periods. The deregulation of part of the UK's storage market in 1999 is one example of a change which has led to the introduction of more complex traded products. This led to various companies buying bundled storage services with the aim of unbundling the components and redesigning a more efficient and customer-focused product for resale. This development led Enron itself to launch new product, EnBank, which is a virtual storage service. Supported by an innovative combination of contracts and assets, EnBank provides a storage service in competition with BG Storage, previously the sole UK provider of storage services. Virtual storage makes no use of physical storage facilities. The seller of such services utilizes any inherent swing in its existing contracts to replicate the natural storage flows that occur during the storage year.</w:t>
      </w:r>
    </w:p>
    <w:p>
      <w:pPr>
        <w:pStyle w:val="H3"/>
        <w:rPr>
          <w:rFonts w:ascii="Arial" w:hAnsi="Arial" w:cs="Arial"/>
          <w:color w:val="000000"/>
        </w:rPr>
      </w:pPr>
      <w:r>
        <w:rPr>
          <w:rFonts w:cs="Arial" w:ascii="Arial" w:hAnsi="Arial"/>
          <w:color w:val="000000"/>
        </w:rPr>
        <w:t>Current Regulatory Environment</w:t>
      </w:r>
    </w:p>
    <w:p>
      <w:pPr>
        <w:pStyle w:val="Normal"/>
        <w:rPr>
          <w:rFonts w:ascii="Arial" w:hAnsi="Arial" w:cs="Arial"/>
          <w:color w:val="000000"/>
        </w:rPr>
      </w:pPr>
      <w:r>
        <w:rPr>
          <w:rFonts w:cs="Arial" w:ascii="Arial" w:hAnsi="Arial"/>
          <w:color w:val="000000"/>
        </w:rPr>
        <w:t>UK natural gas may be traded in the over-the-counter (OTC) market, and also through the IPE exchange. IPE trades are cleared by the London Clearing House (LCH). The LCH acts as clearer, takes margin and guarantees performance. The LCH is a registered shipper.</w:t>
      </w:r>
    </w:p>
    <w:p>
      <w:pPr>
        <w:pStyle w:val="BodyText"/>
        <w:rPr>
          <w:rFonts w:ascii="Arial" w:hAnsi="Arial" w:cs="Arial"/>
        </w:rPr>
      </w:pPr>
      <w:r>
        <w:rPr>
          <w:rFonts w:cs="Arial" w:ascii="Arial" w:hAnsi="Arial"/>
        </w:rPr>
        <w:t xml:space="preserve">Each company trading at the NBP is required to have a shipper's license (unless it is trading on the IPE) and close out its positions prior to delivery. Shipping rules are detailed in the “Network Code”. The current regulator, the Office of Gas and Electricity Markets (OFGEM) regulates gas shippers and has the right to revoke shipping licenses if license conditions are breached.  As mentioned above, the RGTA  process is ongoing and is likely to result in changes to the capacity and balancing regime.  </w:t>
      </w:r>
    </w:p>
    <w:p>
      <w:pPr>
        <w:pStyle w:val="H3"/>
        <w:rPr>
          <w:rFonts w:ascii="Arial" w:hAnsi="Arial" w:cs="Arial"/>
          <w:color w:val="000000"/>
        </w:rPr>
      </w:pPr>
      <w:r>
        <w:rPr>
          <w:rFonts w:cs="Arial" w:ascii="Arial" w:hAnsi="Arial"/>
          <w:color w:val="000000"/>
        </w:rPr>
        <w:t>Market Conventions</w:t>
      </w:r>
    </w:p>
    <w:p>
      <w:pPr>
        <w:pStyle w:val="Normal"/>
        <w:rPr>
          <w:rFonts w:ascii="Arial" w:hAnsi="Arial" w:cs="Arial"/>
          <w:color w:val="000000"/>
        </w:rPr>
      </w:pPr>
      <w:r>
        <w:rPr>
          <w:rFonts w:cs="Arial" w:ascii="Arial" w:hAnsi="Arial"/>
          <w:color w:val="000000"/>
        </w:rPr>
        <w:t>Market prices are quoted in pence per therm for daily volumes of gas regardless of location (NBP, Beach-Bacton, St.Fergus, Teesside, etc). Beach prices will typically trade at a discount to the NBP price, the discount reflecting the entry charge required to deliver the gas onto the NTS and hence the NBP. However, this will not be the case where, e.g. there is an over/ under supply of entry capacity at a terminal. Transfer of title occurs at the location specified in the transaction.</w:t>
      </w:r>
    </w:p>
    <w:p>
      <w:pPr>
        <w:pStyle w:val="Normal"/>
        <w:rPr>
          <w:rFonts w:ascii="Arial" w:hAnsi="Arial" w:cs="Arial"/>
          <w:color w:val="000000"/>
        </w:rPr>
      </w:pPr>
      <w:r>
        <w:rPr>
          <w:rFonts w:cs="Arial" w:ascii="Arial" w:hAnsi="Arial"/>
          <w:color w:val="000000"/>
        </w:rPr>
        <w:t>Prompt gas typically trades in periods ranging from within day to balance of month, with any combination therein being traded (e.g. day ahead, weekend, balance of week).</w:t>
      </w:r>
    </w:p>
    <w:p>
      <w:pPr>
        <w:pStyle w:val="Normal"/>
        <w:rPr>
          <w:rFonts w:ascii="Arial" w:hAnsi="Arial" w:cs="Arial"/>
          <w:color w:val="000000"/>
        </w:rPr>
      </w:pPr>
      <w:r>
        <w:rPr>
          <w:rFonts w:cs="Arial" w:ascii="Arial" w:hAnsi="Arial"/>
          <w:color w:val="000000"/>
        </w:rPr>
        <w:t>Forward gas commonly trades in monthly strips over the first twelve to fifteen months and then quarterly to semi-annually for the remaining one to two years. Prices will be quoted through brokers with a typical bid/offer spread of 0.2 p/th on the brokered quote. The volatility of prices and bid/offer spreads tends to be greater over the first six months as these are the most traded months, although there is also liquidity out to the end of the first gas year. There is less liquidity in the second and third gas years.</w:t>
      </w:r>
    </w:p>
    <w:p>
      <w:pPr>
        <w:pStyle w:val="BodyText"/>
        <w:rPr>
          <w:rFonts w:ascii="Arial" w:hAnsi="Arial" w:cs="Arial"/>
        </w:rPr>
      </w:pPr>
      <w:r>
        <w:rPr>
          <w:rFonts w:cs="Arial" w:ascii="Arial" w:hAnsi="Arial"/>
        </w:rPr>
        <w:t>The IPE trades from 09:30 a.m. to 5:00 p.m., while the OTC market usually trades from 8.00 a.m. to 6.30 p.m. As gas is balanced on a 24-hour basis, OTC trades are sometimes required seven days per week, 24 hours per day for within day and day ahead gas.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2000-06-08T08:08:00Z</dcterms:created>
  <dc:creator>SSimunov</dc:creator>
  <dc:description/>
  <dc:language>en-CA</dc:language>
  <cp:lastModifiedBy>SSimunov</cp:lastModifiedBy>
  <dcterms:modified xsi:type="dcterms:W3CDTF">2000-06-08T11:32:00Z</dcterms:modified>
  <cp:revision>2</cp:revision>
  <dc:subject/>
  <dc:title>UK Natural Gas</dc:title>
</cp:coreProperties>
</file>