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Enron European Internet Trading</w:t>
      </w:r>
    </w:p>
    <w:p>
      <w:pPr>
        <w:pStyle w:val="Normal"/>
        <w:jc w:val="center"/>
        <w:rPr>
          <w:b/>
        </w:rPr>
      </w:pPr>
      <w:r>
        <w:rPr>
          <w:b/>
        </w:rPr>
        <w:t>UK Executive Summary and General Issues</w:t>
      </w:r>
    </w:p>
    <w:p>
      <w:pPr>
        <w:pStyle w:val="Heading1"/>
        <w:ind w:hanging="0" w:start="0"/>
        <w:rPr/>
      </w:pPr>
      <w:r>
        <w:rPr/>
        <w:t>introduction</w:t>
      </w:r>
    </w:p>
    <w:p>
      <w:pPr>
        <w:pStyle w:val="BodyText"/>
        <w:rPr/>
      </w:pPr>
      <w:r>
        <w:rPr/>
        <w:t>This executive summary briefly highlights a number of English law issues that have been previously raised by us in various correspondence and meetings with Enron. This advice is provided as a summary only and is not a conclusive analysis of the English law in relation to Internet business-to-business transactions. Similarly, to the extent that this advice refers to advice from overseas counsel, this advice should not be seen as a summary of the substantive advice provided by overseas counsel.</w:t>
      </w:r>
    </w:p>
    <w:p>
      <w:pPr>
        <w:pStyle w:val="Heading1"/>
        <w:ind w:hanging="0" w:start="0"/>
        <w:rPr/>
      </w:pPr>
      <w:r>
        <w:rPr/>
        <w:t>Contracting Structure</w:t>
      </w:r>
    </w:p>
    <w:p>
      <w:pPr>
        <w:pStyle w:val="ListBullet"/>
        <w:numPr>
          <w:ilvl w:val="0"/>
          <w:numId w:val="11"/>
        </w:numPr>
        <w:rPr/>
      </w:pPr>
      <w:r>
        <w:rPr>
          <w:b/>
        </w:rPr>
        <w:t>EXECUTION:</w:t>
      </w:r>
      <w:r>
        <w:rPr/>
        <w:t xml:space="preserve"> Enron are planning for the Password Application ("</w:t>
      </w:r>
      <w:r>
        <w:rPr>
          <w:b/>
        </w:rPr>
        <w:t>PA</w:t>
      </w:r>
      <w:r>
        <w:rPr/>
        <w:t>") to be executed off-line.  The Electronic Trading Agreement ("</w:t>
      </w:r>
      <w:r>
        <w:rPr>
          <w:b/>
        </w:rPr>
        <w:t>ETA</w:t>
      </w:r>
      <w:r>
        <w:rPr/>
        <w:t>") will be executed online at the initial log-in session for the user of a system password issued under an executed PA.  The product-specific General Terms and Conditions ("</w:t>
      </w:r>
      <w:r>
        <w:rPr>
          <w:b/>
        </w:rPr>
        <w:t>GTCs</w:t>
      </w:r>
      <w:r>
        <w:rPr/>
        <w:t>") will be executed online the first time a trader from a counterparty wishes to trade a particular product.  We have previously advised that from an English law perspective our preferred structure is for all three of these agreements to be executed in hard copy format.  This is to ensure that there is certainty as to the terms of the contracts with the counterparties and, accordingly Enron maximises the chances of enforceability of each of the terms and conditions.  The next preferred scenario is for the ETA and GTCs to be specifically referenced, though not necessarily viewed, with each trade.  In providing this advice, we are not advising Enron to abandon its proposed structure, rather, we are advising Enron that the proposed structure gives rise to a lesser degree of clarity of the terms and conditions of each trade conducted on the website. Similar advice has been received from overseas counsel.</w:t>
      </w:r>
    </w:p>
    <w:p>
      <w:pPr>
        <w:pStyle w:val="ListBullet"/>
        <w:numPr>
          <w:ilvl w:val="0"/>
          <w:numId w:val="11"/>
        </w:numPr>
        <w:rPr/>
      </w:pPr>
      <w:r>
        <w:rPr>
          <w:b/>
        </w:rPr>
        <w:t>AMENDMENT:</w:t>
      </w:r>
      <w:r>
        <w:rPr/>
        <w:t xml:space="preserve"> If the ETA or GTCs are to be amended, this amendment should be specifically brought to the attention of the counterparty through both:</w:t>
      </w:r>
    </w:p>
    <w:p>
      <w:pPr>
        <w:pStyle w:val="Normal"/>
        <w:ind w:hanging="720" w:start="1911" w:end="0"/>
        <w:rPr/>
      </w:pPr>
      <w:r>
        <w:rPr/>
        <w:t>(i)</w:t>
        <w:tab/>
        <w:t>execution of the new amended contract (either online or offline); and</w:t>
      </w:r>
    </w:p>
    <w:p>
      <w:pPr>
        <w:pStyle w:val="Normal"/>
        <w:numPr>
          <w:ilvl w:val="0"/>
          <w:numId w:val="5"/>
        </w:numPr>
        <w:tabs>
          <w:tab w:val="clear" w:pos="720"/>
          <w:tab w:val="left" w:pos="1911" w:leader="none"/>
        </w:tabs>
        <w:ind w:hanging="720" w:start="1911" w:end="0"/>
        <w:rPr/>
      </w:pPr>
      <w:r>
        <w:rPr/>
        <w:t>minor amendments to the link to the ETA and GTCs on the website to indicate that they have been amended (including the date of amendment).</w:t>
      </w:r>
    </w:p>
    <w:p>
      <w:pPr>
        <w:pStyle w:val="Normal"/>
        <w:ind w:start="1191" w:end="0"/>
        <w:rPr/>
      </w:pPr>
      <w:r>
        <w:rPr/>
        <w:t>Again, similar advice has been received from overseas counsel.</w:t>
      </w:r>
    </w:p>
    <w:p>
      <w:pPr>
        <w:pStyle w:val="ListBullet"/>
        <w:numPr>
          <w:ilvl w:val="0"/>
          <w:numId w:val="11"/>
        </w:numPr>
        <w:rPr/>
      </w:pPr>
      <w:r>
        <w:rPr>
          <w:b/>
        </w:rPr>
        <w:t>WEBSITE AS OFFER:</w:t>
      </w:r>
      <w:r>
        <w:rPr/>
        <w:t xml:space="preserve"> We have previously advised that from an English law perspective, the website should be structured as an invitation to treat.  The placing of a buy or sell order by a counterparty is considered an offer.  A contract is formed when Enron accepts that buy or sell order by signifying the conclusion of a trade in the counterparty's account on the Enron web host and related server.  This structure is designed to minimise the possibility that a contract is formed with the counterparty prior to Enron's acceptance.</w:t>
      </w:r>
    </w:p>
    <w:p>
      <w:pPr>
        <w:pStyle w:val="Normal"/>
        <w:ind w:start="1134" w:end="0"/>
        <w:rPr/>
      </w:pPr>
      <w:r>
        <w:rPr/>
        <w:t>Enron's acceptance notification must mirror exactly the contents of the counterparty's offer.  It must not change any of the terms and conditions, including price or quantity, or any other aspect of the offer.</w:t>
      </w:r>
    </w:p>
    <w:p>
      <w:pPr>
        <w:pStyle w:val="Normal"/>
        <w:ind w:start="1134" w:end="0"/>
        <w:rPr/>
      </w:pPr>
      <w:r>
        <w:rPr/>
        <w:t>Under this structure, it is legally possible for a counterparty to withdraw its offer to buy or sell at anytime prior to the acceptance by Enron.  If counterparty is successful in withdrawing an offer prior to acceptance then no contract is formed for that trade, even if Enron replies in the usual way.  Such an attempt at withdrawing an offer could include trying to contact the Enron trading desk directly by either email, facsimile, telephone or some other means.  We understand that at a technical level the chances of such a message being received by Enron prior to Enron's acceptance are slight.  That said, it is important that Enron is aware of the legal possibility for such a withdrawal occurring.</w:t>
      </w:r>
    </w:p>
    <w:p>
      <w:pPr>
        <w:pStyle w:val="Normal"/>
        <w:ind w:start="1134" w:end="0"/>
        <w:rPr/>
      </w:pPr>
      <w:r>
        <w:rPr/>
        <w:t>Enron is to also consider:</w:t>
      </w:r>
    </w:p>
    <w:p>
      <w:pPr>
        <w:pStyle w:val="Normal"/>
        <w:ind w:hanging="720" w:start="1911" w:end="0"/>
        <w:rPr/>
      </w:pPr>
      <w:r>
        <w:rPr/>
        <w:t>(i)</w:t>
        <w:tab/>
        <w:t>the ability to submit an offer based on a range of prices; and</w:t>
      </w:r>
    </w:p>
    <w:p>
      <w:pPr>
        <w:pStyle w:val="Normal"/>
        <w:ind w:hanging="720" w:start="1911" w:end="0"/>
        <w:rPr/>
      </w:pPr>
      <w:r>
        <w:rPr/>
        <w:t>(ii)</w:t>
        <w:tab/>
        <w:t>whether or not the screen of a trader will "freeze" in between the submitting of an offer and Enron's acceptance or rejection.</w:t>
      </w:r>
    </w:p>
    <w:p>
      <w:pPr>
        <w:pStyle w:val="Normal"/>
        <w:ind w:start="1134" w:end="0"/>
        <w:rPr/>
      </w:pPr>
      <w:r>
        <w:rPr/>
        <w:t>Further advice will be provided if required by Enron.</w:t>
      </w:r>
    </w:p>
    <w:p>
      <w:pPr>
        <w:pStyle w:val="ListBullet"/>
        <w:numPr>
          <w:ilvl w:val="0"/>
          <w:numId w:val="11"/>
        </w:numPr>
        <w:rPr/>
      </w:pPr>
      <w:r>
        <w:rPr>
          <w:b/>
        </w:rPr>
        <w:t xml:space="preserve">BANK AND NOTICE DETAILS: </w:t>
      </w:r>
      <w:r>
        <w:rPr/>
        <w:t>If Enron requires that the counterparty provides bank and notice details to Enron and these details are not going to be provided online, a separate sheet should be sent to a counterparty along with, or just after execution of, the PA, enabling the counterparty to include all of the relevant bank account and notice details.  Enron will provide its bank and notice details to a counterparty at the time, or shortly after, the counterparty executes the PA.</w:t>
      </w:r>
    </w:p>
    <w:p>
      <w:pPr>
        <w:pStyle w:val="Heading1"/>
        <w:ind w:hanging="0" w:start="0"/>
        <w:rPr/>
      </w:pPr>
      <w:r>
        <w:rPr/>
        <w:t xml:space="preserve">Password protection </w:t>
      </w:r>
    </w:p>
    <w:p>
      <w:pPr>
        <w:pStyle w:val="BodyText"/>
        <w:rPr/>
      </w:pPr>
      <w:r>
        <w:rPr/>
        <w:t>In relation to the possibility of a counterparty’s password being compromised, in the PA we have purported to attach all of the responsibility and liability for password use, misuse and contracts formed using the password with the counterparty. It is difficult to say with certainty whether or not English courts would enforce such a provision.  This is particularly the case in circumstances where the password has been compromised because of the actions or negligence of Enron, or because of a hacker accessing a message sent by the counterparty to the Enron website host and server.</w:t>
      </w:r>
    </w:p>
    <w:p>
      <w:pPr>
        <w:pStyle w:val="BodyText"/>
        <w:rPr/>
      </w:pPr>
      <w:r>
        <w:rPr/>
        <w:t xml:space="preserve">In such circumstances, the provisions of the </w:t>
      </w:r>
      <w:r>
        <w:rPr>
          <w:i/>
        </w:rPr>
        <w:t>Unfair Contracts Terms</w:t>
      </w:r>
      <w:r>
        <w:rPr/>
        <w:t xml:space="preserve"> </w:t>
      </w:r>
      <w:r>
        <w:rPr>
          <w:i/>
        </w:rPr>
        <w:t>Act 1977</w:t>
      </w:r>
      <w:r>
        <w:rPr/>
        <w:t xml:space="preserve"> may be used by the English courts to strike down the relevant provisions of the PA.</w:t>
      </w:r>
    </w:p>
    <w:p>
      <w:pPr>
        <w:pStyle w:val="Heading1"/>
        <w:ind w:hanging="0" w:start="0"/>
        <w:rPr/>
      </w:pPr>
      <w:r>
        <w:rPr/>
        <w:t>Record keeping obligations and electronic evidence</w:t>
      </w:r>
    </w:p>
    <w:p>
      <w:pPr>
        <w:pStyle w:val="Normal"/>
        <w:ind w:start="624" w:end="0"/>
        <w:rPr/>
      </w:pPr>
      <w:r>
        <w:rPr/>
        <w:t>Enron must ensure that it has a high level of security and encryption for its trading system. England, like most European jurisdictions, has not set standards or legislative levels for systems security.  That said, to ensure that Enron has sufficient evidence to support a claim that a contract has been formed electronically, Enron should:</w:t>
      </w:r>
    </w:p>
    <w:p>
      <w:pPr>
        <w:pStyle w:val="ListBullet"/>
        <w:numPr>
          <w:ilvl w:val="0"/>
          <w:numId w:val="11"/>
        </w:numPr>
        <w:rPr/>
      </w:pPr>
      <w:r>
        <w:rPr>
          <w:b/>
        </w:rPr>
        <w:t>Records</w:t>
      </w:r>
      <w:r>
        <w:rPr/>
        <w:t>: Keep electronic and hard copy records of all transactions;</w:t>
      </w:r>
    </w:p>
    <w:p>
      <w:pPr>
        <w:pStyle w:val="ListBullet"/>
        <w:numPr>
          <w:ilvl w:val="0"/>
          <w:numId w:val="11"/>
        </w:numPr>
        <w:rPr/>
      </w:pPr>
      <w:r>
        <w:rPr>
          <w:b/>
        </w:rPr>
        <w:t>Confirm</w:t>
      </w:r>
      <w:r>
        <w:rPr/>
        <w:t xml:space="preserve"> </w:t>
      </w:r>
      <w:r>
        <w:rPr>
          <w:b/>
        </w:rPr>
        <w:t>Trade</w:t>
      </w:r>
      <w:r>
        <w:rPr/>
        <w:t>: Enron will send a hard copy written confirmation to a counterparty;</w:t>
      </w:r>
    </w:p>
    <w:p>
      <w:pPr>
        <w:pStyle w:val="ListBullet"/>
        <w:numPr>
          <w:ilvl w:val="0"/>
          <w:numId w:val="11"/>
        </w:numPr>
        <w:rPr/>
      </w:pPr>
      <w:r>
        <w:rPr>
          <w:b/>
        </w:rPr>
        <w:t>Security</w:t>
      </w:r>
      <w:r>
        <w:rPr/>
        <w:t xml:space="preserve"> </w:t>
      </w:r>
      <w:r>
        <w:rPr>
          <w:b/>
        </w:rPr>
        <w:t>Levels</w:t>
      </w:r>
      <w:r>
        <w:rPr/>
        <w:t>: Maintain a secure information technology environment including industry best practice encryption levels; and</w:t>
      </w:r>
    </w:p>
    <w:p>
      <w:pPr>
        <w:pStyle w:val="ListBullet"/>
        <w:numPr>
          <w:ilvl w:val="0"/>
          <w:numId w:val="11"/>
        </w:numPr>
        <w:rPr/>
      </w:pPr>
      <w:r>
        <w:rPr>
          <w:b/>
        </w:rPr>
        <w:t>Technical</w:t>
      </w:r>
      <w:r>
        <w:rPr/>
        <w:t xml:space="preserve"> </w:t>
      </w:r>
      <w:r>
        <w:rPr>
          <w:b/>
        </w:rPr>
        <w:t>Expert</w:t>
      </w:r>
      <w:r>
        <w:rPr/>
        <w:t>: Have available a qualified expert who can attest to a court that the system is secure and reliable.</w:t>
      </w:r>
    </w:p>
    <w:p>
      <w:pPr>
        <w:pStyle w:val="Heading1"/>
        <w:ind w:hanging="0" w:start="0"/>
        <w:rPr/>
      </w:pPr>
      <w:r>
        <w:rPr/>
        <w:t>encryption and passwords</w:t>
      </w:r>
    </w:p>
    <w:p>
      <w:pPr>
        <w:pStyle w:val="BodyText"/>
        <w:rPr/>
      </w:pPr>
      <w:r>
        <w:rPr/>
        <w:t>Enron is to provide further advice as to the encryption or password protection procedures to be used with the website.  There are a number of regulatory issues that may need to be considered depending on what encryption or secure server technologies are used.  Further advice will be provided by Clifford Chance on request.</w:t>
      </w:r>
    </w:p>
    <w:p>
      <w:pPr>
        <w:pStyle w:val="Heading1"/>
        <w:ind w:hanging="0" w:start="0"/>
        <w:rPr/>
      </w:pPr>
      <w:r>
        <w:rPr/>
        <w:t>Linking to non-Enron websites</w:t>
      </w:r>
    </w:p>
    <w:p>
      <w:pPr>
        <w:pStyle w:val="BodyText"/>
        <w:rPr/>
      </w:pPr>
      <w:r>
        <w:rPr/>
        <w:t>We have previously provided advice on hotlinking.  Please note that our advice on this issue has been limited to English law.</w:t>
      </w:r>
    </w:p>
    <w:p>
      <w:pPr>
        <w:pStyle w:val="Heading1"/>
        <w:ind w:hanging="0" w:start="0"/>
        <w:rPr/>
      </w:pPr>
      <w:r>
        <w:rPr/>
        <w:t>PROPOSED EUROPEAN PARLIAMENT AND COUNCIL DIRECTIVE</w:t>
      </w:r>
    </w:p>
    <w:p>
      <w:pPr>
        <w:pStyle w:val="BodyText"/>
        <w:rPr/>
      </w:pPr>
      <w:r>
        <w:rPr/>
        <w:t>The Commission of the European Communities have put forward a proposal for a European Parliament and Council Directive on certain legal aspects of electronic commerce in the internal market.</w:t>
      </w:r>
    </w:p>
    <w:p>
      <w:pPr>
        <w:pStyle w:val="BodyText"/>
        <w:rPr/>
      </w:pPr>
      <w:r>
        <w:rPr/>
        <w:t>The current draft includes article 11 which deals with the moment at which a contract concluded electronically is deemed  concluded.  This draft states that:</w:t>
      </w:r>
    </w:p>
    <w:p>
      <w:pPr>
        <w:pStyle w:val="BodyText"/>
        <w:rPr/>
      </w:pPr>
      <w:r>
        <w:rPr/>
        <w:tab/>
      </w:r>
      <w:r>
        <w:rPr>
          <w:i/>
        </w:rPr>
        <w:t>“the contract is concluded when the recipient of the service [the counterparty]:</w:t>
      </w:r>
    </w:p>
    <w:p>
      <w:pPr>
        <w:pStyle w:val="BodyText"/>
        <w:numPr>
          <w:ilvl w:val="0"/>
          <w:numId w:val="2"/>
        </w:numPr>
        <w:rPr>
          <w:i/>
          <w:i/>
        </w:rPr>
      </w:pPr>
      <w:r>
        <w:rPr>
          <w:i/>
        </w:rPr>
        <w:t>has received from the service provider [Enron], electronically, an acknowledgement of receipt of the recipient’s acceptance; and</w:t>
      </w:r>
    </w:p>
    <w:p>
      <w:pPr>
        <w:pStyle w:val="BodyText"/>
        <w:numPr>
          <w:ilvl w:val="0"/>
          <w:numId w:val="2"/>
        </w:numPr>
        <w:rPr>
          <w:i/>
          <w:i/>
        </w:rPr>
      </w:pPr>
      <w:r>
        <w:rPr>
          <w:i/>
        </w:rPr>
        <w:t>has confirmed receipt of the acknowledgement of receipt; …”</w:t>
      </w:r>
      <w:r>
        <w:rPr/>
        <w:t>.</w:t>
      </w:r>
    </w:p>
    <w:p>
      <w:pPr>
        <w:pStyle w:val="Normal"/>
        <w:ind w:start="720" w:end="0"/>
        <w:rPr/>
      </w:pPr>
      <w:r>
        <w:rPr/>
        <w:t>This process envisages two formation steps in addition to the current contract formation proposal of Enron.</w:t>
      </w:r>
    </w:p>
    <w:p>
      <w:pPr>
        <w:pStyle w:val="Normal"/>
        <w:ind w:start="720" w:end="0"/>
        <w:rPr/>
      </w:pPr>
      <w:r>
        <w:rPr/>
        <w:t>This Directive is in proposal form only and may be subject to change prior to formal acceptance and adoption.  That said, it is important that Enron be aware of this document and article 11 in particular.  Enron may wish to consider lobbying against this proposal including by submitting a response to the Commission.</w:t>
      </w:r>
    </w:p>
    <w:p>
      <w:pPr>
        <w:pStyle w:val="Heading1"/>
        <w:ind w:hanging="0" w:start="0"/>
        <w:rPr/>
      </w:pPr>
      <w:r>
        <w:rPr/>
        <w:t>data protection</w:t>
      </w:r>
    </w:p>
    <w:p>
      <w:pPr>
        <w:pStyle w:val="BodyText"/>
        <w:rPr/>
      </w:pPr>
      <w:r>
        <w:rPr/>
        <w:t>We have previously advised that in England, Enron should seek the consent of individual traders in relation to the transmission and processing of personal data to and on the Enron website host and server.  Enron propose to seek consent in hardcopy format at the same time as the execution of the PA.  Clifford Chance will draft the appropriate consent once the process has been agreed.</w:t>
      </w:r>
    </w:p>
    <w:p>
      <w:pPr>
        <w:pStyle w:val="Normal"/>
        <w:spacing w:before="0" w:after="0"/>
        <w:rPr>
          <w:b/>
        </w:rPr>
      </w:pPr>
      <w:r>
        <w:rPr>
          <w:b/>
        </w:rPr>
        <w:t>Clifford Chance</w:t>
      </w:r>
    </w:p>
    <w:p>
      <w:pPr>
        <w:pStyle w:val="Normal"/>
        <w:spacing w:before="0" w:after="0"/>
        <w:rPr>
          <w:b/>
        </w:rPr>
      </w:pPr>
      <w:r>
        <w:rPr>
          <w:b/>
        </w:rPr>
        <w:t>Version 2</w:t>
      </w:r>
    </w:p>
    <w:p>
      <w:pPr>
        <w:pStyle w:val="Normal"/>
        <w:spacing w:before="0" w:after="0"/>
        <w:rPr>
          <w:b/>
        </w:rPr>
      </w:pPr>
      <w:r>
        <w:rPr>
          <w:b/>
        </w:rPr>
        <w:t>23 June 1999</w:t>
      </w:r>
    </w:p>
    <w:p>
      <w:pPr>
        <w:pStyle w:val="Normal"/>
        <w:spacing w:before="0" w:after="0"/>
        <w:rPr>
          <w:b/>
        </w:rPr>
      </w:pPr>
      <w:r>
        <w:rPr>
          <w:b/>
        </w:rPr>
        <w:t>TCH/E3270/00253/CJM</w:t>
      </w:r>
    </w:p>
    <w:sectPr>
      <w:headerReference w:type="default" r:id="rId2"/>
      <w:footerReference w:type="default" r:id="rId3"/>
      <w:type w:val="nextPage"/>
      <w:pgSz w:w="11906" w:h="16838"/>
      <w:pgMar w:left="1701" w:right="1701" w:gutter="0" w:header="720" w:top="1440"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jc w:val="start"/>
            <w:rPr/>
          </w:pPr>
          <w:r>
            <w:rPr/>
            <w:t>London-1/371275/04</w:t>
          </w:r>
        </w:p>
      </w:tc>
      <w:tc>
        <w:tcPr>
          <w:tcW w:w="2900" w:type="dxa"/>
          <w:tcBorders/>
          <w:vAlign w:val="bottom"/>
        </w:tcPr>
        <w:p>
          <w:pPr>
            <w:pStyle w:val="Footer"/>
            <w:jc w:val="center"/>
            <w:rPr>
              <w:sz w:val="22"/>
            </w:rPr>
          </w:pPr>
          <w:r>
            <w:rPr>
              <w:sz w:val="22"/>
              <w:lang w:val="en-CA"/>
            </w:rPr>
            <w:fldChar w:fldCharType="begin"/>
          </w:r>
          <w:r>
            <w:rPr>
              <w:sz w:val="22"/>
              <w:lang w:val="en-CA"/>
            </w:rPr>
            <w:instrText xml:space="preserve"> IF  "" ""</w:instrText>
          </w:r>
          <w:r>
            <w:rPr>
              <w:sz w:val="22"/>
              <w:lang w:val="en-CA"/>
            </w:rPr>
            <w:fldChar w:fldCharType="separate"/>
          </w:r>
          <w:r>
            <w:rPr>
              <w:sz w:val="22"/>
              <w:lang w:val="en-CA"/>
            </w:rPr>
          </w:r>
          <w:r>
            <w:rPr>
              <w:sz w:val="22"/>
              <w:lang w:val="en-CA"/>
            </w:rPr>
            <w:fldChar w:fldCharType="end"/>
          </w:r>
        </w:p>
      </w:tc>
      <w:tc>
        <w:tcPr>
          <w:tcW w:w="2900" w:type="dxa"/>
          <w:tcBorders/>
          <w:vAlign w:val="bottom"/>
        </w:tcPr>
        <w:p>
          <w:pPr>
            <w:pStyle w:val="Footer"/>
            <w:jc w:val="end"/>
            <w:rPr/>
          </w:pPr>
          <w:r>
            <w:rPr/>
            <w:t>E3270/00253</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624"/>
        </w:tabs>
        <w:ind w:start="624" w:hanging="624"/>
      </w:pPr>
      <w:rPr>
        <w:sz w:val="20"/>
        <w:i w:val="false"/>
        <w:b w:val="false"/>
        <w:rFonts w:ascii="CG Times" w:hAnsi="CG Times" w:cs="CG Times"/>
      </w:rPr>
    </w:lvl>
    <w:lvl w:ilvl="1">
      <w:start w:val="1"/>
      <w:pStyle w:val="Heading2"/>
      <w:numFmt w:val="decimal"/>
      <w:lvlText w:val="%1.%2"/>
      <w:lvlJc w:val="start"/>
      <w:pPr>
        <w:tabs>
          <w:tab w:val="num" w:pos="624"/>
        </w:tabs>
        <w:ind w:start="624" w:hanging="624"/>
      </w:pPr>
      <w:rPr>
        <w:sz w:val="20"/>
        <w:i w:val="false"/>
        <w:b w:val="false"/>
      </w:rPr>
    </w:lvl>
    <w:lvl w:ilvl="2">
      <w:start w:val="1"/>
      <w:pStyle w:val="Heading3"/>
      <w:numFmt w:val="decimal"/>
      <w:lvlText w:val="%1.%2.%3"/>
      <w:lvlJc w:val="start"/>
      <w:pPr>
        <w:tabs>
          <w:tab w:val="num" w:pos="1417"/>
        </w:tabs>
        <w:ind w:start="1417" w:hanging="793"/>
      </w:pPr>
      <w:rPr>
        <w:sz w:val="18"/>
        <w:i w:val="false"/>
        <w:b w:val="false"/>
      </w:rPr>
    </w:lvl>
    <w:lvl w:ilvl="3">
      <w:start w:val="1"/>
      <w:pStyle w:val="Heading4"/>
      <w:numFmt w:val="lowerLetter"/>
      <w:lvlText w:val="(%4)"/>
      <w:lvlJc w:val="start"/>
      <w:pPr>
        <w:tabs>
          <w:tab w:val="num" w:pos="1928"/>
        </w:tabs>
        <w:ind w:start="1928" w:hanging="511"/>
      </w:pPr>
      <w:rPr>
        <w:sz w:val="20"/>
        <w:i w:val="false"/>
        <w:b w:val="false"/>
      </w:rPr>
    </w:lvl>
    <w:lvl w:ilvl="4">
      <w:start w:val="1"/>
      <w:pStyle w:val="Heading5"/>
      <w:numFmt w:val="lowerRoman"/>
      <w:lvlText w:val="(%5)"/>
      <w:lvlJc w:val="start"/>
      <w:pPr>
        <w:tabs>
          <w:tab w:val="num" w:pos="2438"/>
        </w:tabs>
        <w:ind w:start="2438" w:hanging="510"/>
      </w:pPr>
      <w:rPr>
        <w:sz w:val="18"/>
        <w:i w:val="false"/>
        <w:b w:val="false"/>
      </w:rPr>
    </w:lvl>
    <w:lvl w:ilvl="5">
      <w:start w:val="1"/>
      <w:pStyle w:val="Heading6"/>
      <w:numFmt w:val="decimal"/>
      <w:lvlText w:val="(%6)"/>
      <w:lvlJc w:val="start"/>
      <w:pPr>
        <w:tabs>
          <w:tab w:val="num" w:pos="2948"/>
        </w:tabs>
        <w:ind w:start="2948" w:hanging="510"/>
      </w:pPr>
      <w:rPr>
        <w:sz w:val="20"/>
        <w:i w:val="false"/>
        <w:b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decimal"/>
      <w:lvlText w:val="SCHEDULE %9"/>
      <w:lvlJc w:val="start"/>
      <w:pPr>
        <w:tabs>
          <w:tab w:val="num" w:pos="0"/>
        </w:tabs>
        <w:ind w:start="0" w:hanging="0"/>
      </w:pPr>
      <w:rPr>
        <w:caps/>
        <w:sz w:val="22"/>
        <w:i w:val="false"/>
        <w:b/>
      </w:rPr>
    </w:lvl>
  </w:abstractNum>
  <w:abstractNum w:abstractNumId="2">
    <w:lvl w:ilvl="0">
      <w:start w:val="2"/>
      <w:numFmt w:val="bullet"/>
      <w:lvlText w:val="-"/>
      <w:lvlJc w:val="start"/>
      <w:pPr>
        <w:tabs>
          <w:tab w:val="num" w:pos="1440"/>
        </w:tabs>
        <w:ind w:start="1440" w:hanging="720"/>
      </w:pPr>
      <w:rPr>
        <w:rFonts w:ascii="Times New Roman" w:hAnsi="Times New Roman" w:cs="Times New Roman" w:hint="default"/>
      </w:rPr>
    </w:lvl>
  </w:abstractNum>
  <w:abstractNum w:abstractNumId="3">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2)"/>
      <w:lvlJc w:val="start"/>
      <w:pPr>
        <w:tabs>
          <w:tab w:val="num" w:pos="1417"/>
        </w:tabs>
        <w:ind w:start="1417" w:hanging="793"/>
      </w:pPr>
      <w:rPr>
        <w:sz w:val="20"/>
        <w:i w:val="false"/>
        <w:b w:val="false"/>
      </w:rPr>
    </w:lvl>
    <w:lvl w:ilvl="2">
      <w:start w:val="1"/>
      <w:numFmt w:val="decimal"/>
      <w:lvlText w:val="(%3)"/>
      <w:lvlJc w:val="start"/>
      <w:pPr>
        <w:tabs>
          <w:tab w:val="num" w:pos="1928"/>
        </w:tabs>
        <w:ind w:start="1928" w:hanging="511"/>
      </w:pPr>
      <w:rPr>
        <w:sz w:val="20"/>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4">
    <w:lvl w:ilvl="0">
      <w:start w:val="1"/>
      <w:numFmt w:val="upperLetter"/>
      <w:lvlText w:val="(%1)"/>
      <w:lvlJc w:val="start"/>
      <w:pPr>
        <w:tabs>
          <w:tab w:val="num" w:pos="624"/>
        </w:tabs>
        <w:ind w:start="624" w:hanging="624"/>
      </w:pPr>
      <w:rPr>
        <w:sz w:val="20"/>
        <w:i w:val="false"/>
        <w:b w:val="false"/>
        <w:rFonts w:ascii="CG Times" w:hAnsi="CG Times" w:cs="CG Times"/>
      </w:rPr>
    </w:lvl>
    <w:lvl w:ilvl="1">
      <w:start w:val="1"/>
      <w:numFmt w:val="upperLetter"/>
      <w:lvlText w:val="(%2)"/>
      <w:lvlJc w:val="start"/>
      <w:pPr>
        <w:tabs>
          <w:tab w:val="num" w:pos="1417"/>
        </w:tabs>
        <w:ind w:start="1417" w:hanging="793"/>
      </w:pPr>
      <w:rPr>
        <w:sz w:val="20"/>
        <w:i w:val="false"/>
        <w:b w:val="false"/>
      </w:rPr>
    </w:lvl>
    <w:lvl w:ilvl="2">
      <w:start w:val="1"/>
      <w:numFmt w:val="upp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5">
    <w:lvl w:ilvl="0">
      <w:start w:val="2"/>
      <w:numFmt w:val="lowerRoman"/>
      <w:lvlText w:val="(%1)"/>
      <w:lvlJc w:val="start"/>
      <w:pPr>
        <w:tabs>
          <w:tab w:val="num" w:pos="1080"/>
        </w:tabs>
        <w:ind w:start="1080" w:hanging="720"/>
      </w:pPr>
      <w:rPr/>
    </w:lvl>
  </w:abstractNum>
  <w:abstractNum w:abstractNumId="6">
    <w:lvl w:ilvl="0">
      <w:start w:val="1"/>
      <w:numFmt w:val="lowerRoman"/>
      <w:lvlText w:val="(%1)"/>
      <w:lvlJc w:val="start"/>
      <w:pPr>
        <w:tabs>
          <w:tab w:val="num" w:pos="624"/>
        </w:tabs>
        <w:ind w:start="624" w:hanging="624"/>
      </w:pPr>
      <w:rPr>
        <w:sz w:val="18"/>
        <w:i w:val="false"/>
        <w:b w:val="false"/>
        <w:rFonts w:ascii="CG Times" w:hAnsi="CG Times" w:cs="CG Times"/>
      </w:rPr>
    </w:lvl>
    <w:lvl w:ilvl="1">
      <w:start w:val="1"/>
      <w:numFmt w:val="lowerRoman"/>
      <w:lvlText w:val="(%2)"/>
      <w:lvlJc w:val="start"/>
      <w:pPr>
        <w:tabs>
          <w:tab w:val="num" w:pos="1417"/>
        </w:tabs>
        <w:ind w:start="1417" w:hanging="793"/>
      </w:pPr>
      <w:rPr>
        <w:sz w:val="18"/>
        <w:i w:val="false"/>
        <w:b w:val="false"/>
      </w:rPr>
    </w:lvl>
    <w:lvl w:ilvl="2">
      <w:start w:val="1"/>
      <w:numFmt w:val="lowerRoman"/>
      <w:lvlText w:val="(%3)"/>
      <w:lvlJc w:val="start"/>
      <w:pPr>
        <w:tabs>
          <w:tab w:val="num" w:pos="1928"/>
        </w:tabs>
        <w:ind w:start="1928" w:hanging="511"/>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7">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8">
    <w:lvl w:ilvl="0">
      <w:start w:val="1"/>
      <w:numFmt w:val="lowerLetter"/>
      <w:lvlText w:val="(%1)"/>
      <w:lvlJc w:val="start"/>
      <w:pPr>
        <w:tabs>
          <w:tab w:val="num" w:pos="624"/>
        </w:tabs>
        <w:ind w:start="624" w:hanging="624"/>
      </w:pPr>
      <w:rPr>
        <w:sz w:val="20"/>
        <w:i w:val="false"/>
        <w:b w:val="false"/>
        <w:rFonts w:ascii="CG Times" w:hAnsi="CG Times" w:cs="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9">
    <w:lvl w:ilvl="0">
      <w:start w:val="1"/>
      <w:numFmt w:val="lowerLetter"/>
      <w:lvlText w:val="(%1)"/>
      <w:lvlJc w:val="start"/>
      <w:pPr>
        <w:tabs>
          <w:tab w:val="num" w:pos="624"/>
        </w:tabs>
        <w:ind w:start="624" w:hanging="624"/>
      </w:pPr>
    </w:lvl>
    <w:lvl w:ilvl="1">
      <w:start w:val="1"/>
      <w:numFmt w:val="decimal"/>
      <w:lvlText w:val="%2."/>
      <w:lvlJc w:val="start"/>
      <w:pPr>
        <w:tabs>
          <w:tab w:val="num" w:pos="624"/>
        </w:tabs>
        <w:ind w:start="624" w:hanging="624"/>
      </w:pPr>
    </w:lvl>
    <w:lvl w:ilvl="2">
      <w:start w:val="1"/>
      <w:numFmt w:val="lowerRoman"/>
      <w:lvlText w:val="(%3)"/>
      <w:lvlJc w:val="start"/>
      <w:pPr>
        <w:tabs>
          <w:tab w:val="num" w:pos="720"/>
        </w:tabs>
        <w:ind w:start="624" w:hanging="624"/>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0">
    <w:lvl w:ilvl="0">
      <w:start w:val="1"/>
      <w:numFmt w:val="upperLetter"/>
      <w:lvlText w:val="Part %1"/>
      <w:lvlJc w:val="start"/>
      <w:pPr>
        <w:tabs>
          <w:tab w:val="num" w:pos="612"/>
        </w:tabs>
        <w:ind w:start="0" w:hanging="0"/>
      </w:pPr>
      <w:rPr>
        <w:sz w:val="21"/>
        <w:b/>
        <w:rFonts w:ascii="CG Times" w:hAnsi="CG Times" w:cs="CG Times"/>
      </w:r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1">
    <w:lvl w:ilvl="0">
      <w:start w:val="1"/>
      <w:numFmt w:val="bullet"/>
      <w:lvlText w:val=""/>
      <w:lvlJc w:val="start"/>
      <w:pPr>
        <w:tabs>
          <w:tab w:val="num" w:pos="567"/>
        </w:tabs>
        <w:ind w:start="567" w:hanging="567"/>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STYLE" w:val="1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before="0" w:after="200"/>
      <w:jc w:val="both"/>
    </w:pPr>
    <w:rPr>
      <w:rFonts w:ascii="CG Times" w:hAnsi="CG Times" w:eastAsia="Times New Roman" w:cs="CG Times"/>
      <w:color w:val="auto"/>
      <w:sz w:val="22"/>
      <w:szCs w:val="20"/>
      <w:lang w:val="en-GB" w:eastAsia="zh-CN" w:bidi="hi-IN"/>
    </w:rPr>
  </w:style>
  <w:style w:type="paragraph" w:styleId="Heading1">
    <w:name w:val="heading 1"/>
    <w:basedOn w:val="Normal"/>
    <w:next w:val="BodyText"/>
    <w:qFormat/>
    <w:pPr>
      <w:keepNext w:val="true"/>
      <w:numPr>
        <w:ilvl w:val="0"/>
        <w:numId w:val="1"/>
      </w:numPr>
      <w:tabs>
        <w:tab w:val="clear" w:pos="720"/>
        <w:tab w:val="left" w:pos="22" w:leader="none"/>
      </w:tabs>
      <w:spacing w:before="100" w:after="100"/>
      <w:outlineLvl w:val="0"/>
    </w:pPr>
    <w:rPr>
      <w:b/>
      <w:caps/>
      <w:kern w:val="2"/>
      <w:sz w:val="20"/>
    </w:rPr>
  </w:style>
  <w:style w:type="paragraph" w:styleId="Heading2">
    <w:name w:val="heading 2"/>
    <w:basedOn w:val="Normal"/>
    <w:next w:val="BodyText"/>
    <w:qFormat/>
    <w:pPr>
      <w:numPr>
        <w:ilvl w:val="1"/>
        <w:numId w:val="1"/>
      </w:numPr>
      <w:tabs>
        <w:tab w:val="clear" w:pos="720"/>
        <w:tab w:val="left" w:pos="22" w:leader="none"/>
      </w:tabs>
      <w:outlineLvl w:val="1"/>
    </w:pPr>
    <w:rPr>
      <w:kern w:val="2"/>
    </w:rPr>
  </w:style>
  <w:style w:type="paragraph" w:styleId="Heading3">
    <w:name w:val="heading 3"/>
    <w:basedOn w:val="Normal"/>
    <w:next w:val="BodyText2"/>
    <w:qFormat/>
    <w:pPr>
      <w:numPr>
        <w:ilvl w:val="2"/>
        <w:numId w:val="1"/>
      </w:numPr>
      <w:tabs>
        <w:tab w:val="clear" w:pos="720"/>
        <w:tab w:val="left" w:pos="50" w:leader="none"/>
      </w:tabs>
      <w:outlineLvl w:val="2"/>
    </w:pPr>
    <w:rPr/>
  </w:style>
  <w:style w:type="paragraph" w:styleId="Heading4">
    <w:name w:val="heading 4"/>
    <w:basedOn w:val="Normal"/>
    <w:next w:val="BodyText3"/>
    <w:qFormat/>
    <w:pPr>
      <w:numPr>
        <w:ilvl w:val="3"/>
        <w:numId w:val="1"/>
      </w:numPr>
      <w:tabs>
        <w:tab w:val="clear" w:pos="720"/>
        <w:tab w:val="left" w:pos="68" w:leader="none"/>
      </w:tabs>
      <w:outlineLvl w:val="3"/>
    </w:pPr>
    <w:rPr/>
  </w:style>
  <w:style w:type="paragraph" w:styleId="Heading5">
    <w:name w:val="heading 5"/>
    <w:basedOn w:val="Normal"/>
    <w:next w:val="BodyText4"/>
    <w:qFormat/>
    <w:pPr>
      <w:numPr>
        <w:ilvl w:val="4"/>
        <w:numId w:val="1"/>
      </w:numPr>
      <w:tabs>
        <w:tab w:val="clear" w:pos="720"/>
        <w:tab w:val="left" w:pos="86" w:leader="none"/>
      </w:tabs>
      <w:outlineLvl w:val="4"/>
    </w:pPr>
    <w:rPr/>
  </w:style>
  <w:style w:type="paragraph" w:styleId="Heading6">
    <w:name w:val="heading 6"/>
    <w:basedOn w:val="Normal"/>
    <w:next w:val="BodyText5"/>
    <w:qFormat/>
    <w:pPr>
      <w:numPr>
        <w:ilvl w:val="5"/>
        <w:numId w:val="1"/>
      </w:numPr>
      <w:tabs>
        <w:tab w:val="clear" w:pos="720"/>
        <w:tab w:val="left" w:pos="104" w:leader="none"/>
      </w:tabs>
      <w:outlineLvl w:val="5"/>
    </w:pPr>
    <w:rPr/>
  </w:style>
  <w:style w:type="paragraph" w:styleId="Heading7">
    <w:name w:val="heading 7"/>
    <w:basedOn w:val="Normal"/>
    <w:next w:val="Normal"/>
    <w:qFormat/>
    <w:pPr>
      <w:numPr>
        <w:ilvl w:val="6"/>
        <w:numId w:val="1"/>
      </w:numPr>
      <w:spacing w:before="0" w:after="0"/>
      <w:outlineLvl w:val="6"/>
    </w:pPr>
    <w:rPr/>
  </w:style>
  <w:style w:type="paragraph" w:styleId="Heading8">
    <w:name w:val="heading 8"/>
    <w:basedOn w:val="Normal"/>
    <w:next w:val="Normal"/>
    <w:qFormat/>
    <w:pPr>
      <w:numPr>
        <w:ilvl w:val="7"/>
        <w:numId w:val="1"/>
      </w:numPr>
      <w:spacing w:before="0" w:after="0"/>
      <w:outlineLvl w:val="7"/>
    </w:pPr>
    <w:rPr/>
  </w:style>
  <w:style w:type="paragraph" w:styleId="Heading9">
    <w:name w:val="heading 9"/>
    <w:basedOn w:val="Normal"/>
    <w:next w:val="Normal"/>
    <w:qFormat/>
    <w:pPr>
      <w:pageBreakBefore/>
      <w:numPr>
        <w:ilvl w:val="8"/>
        <w:numId w:val="1"/>
      </w:numPr>
      <w:tabs>
        <w:tab w:val="clear" w:pos="720"/>
        <w:tab w:val="left" w:pos="1440" w:leader="none"/>
      </w:tabs>
      <w:suppressAutoHyphens w:val="true"/>
      <w:spacing w:lineRule="auto" w:line="336" w:before="0" w:after="300"/>
      <w:jc w:val="center"/>
      <w:outlineLvl w:val="8"/>
    </w:pPr>
    <w:rPr>
      <w:b/>
      <w:smallCaps/>
      <w:sz w:val="21"/>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Times New Roman" w:hAnsi="Times New Roman" w:cs="Times New Roman"/>
    </w:rPr>
  </w:style>
  <w:style w:type="character" w:styleId="WW8Num4z0">
    <w:name w:val="WW8Num4z0"/>
    <w:qFormat/>
    <w:rPr>
      <w:rFonts w:ascii="CG Times" w:hAnsi="CG Times" w:cs="CG Times"/>
      <w:b w:val="false"/>
      <w:i w:val="false"/>
      <w:sz w:val="20"/>
    </w:rPr>
  </w:style>
  <w:style w:type="character" w:styleId="WW8Num4z1">
    <w:name w:val="WW8Num4z1"/>
    <w:qFormat/>
    <w:rPr>
      <w:b w:val="false"/>
      <w:i w:val="false"/>
      <w:sz w:val="20"/>
    </w:rPr>
  </w:style>
  <w:style w:type="character" w:styleId="WW8Num4z4">
    <w:name w:val="WW8Num4z4"/>
    <w:qFormat/>
    <w:rPr>
      <w:b w:val="false"/>
      <w:i w:val="false"/>
      <w:sz w:val="18"/>
    </w:rPr>
  </w:style>
  <w:style w:type="character" w:styleId="WW8Num4z8">
    <w:name w:val="WW8Num4z8"/>
    <w:qFormat/>
    <w:rPr>
      <w:b/>
      <w:i w:val="false"/>
      <w:caps/>
      <w:sz w:val="22"/>
    </w:rPr>
  </w:style>
  <w:style w:type="character" w:styleId="WW8Num5z0">
    <w:name w:val="WW8Num5z0"/>
    <w:qFormat/>
    <w:rPr>
      <w:rFonts w:ascii="Symbol" w:hAnsi="Symbol" w:cs="Symbol"/>
    </w:rPr>
  </w:style>
  <w:style w:type="character" w:styleId="WW8Num6z0">
    <w:name w:val="WW8Num6z0"/>
    <w:qFormat/>
    <w:rPr>
      <w:rFonts w:ascii="CG Times" w:hAnsi="CG Times" w:cs="CG Times"/>
      <w:b w:val="false"/>
      <w:i w:val="false"/>
      <w:sz w:val="20"/>
    </w:rPr>
  </w:style>
  <w:style w:type="character" w:styleId="WW8Num6z1">
    <w:name w:val="WW8Num6z1"/>
    <w:qFormat/>
    <w:rPr>
      <w:b w:val="false"/>
      <w:i w:val="false"/>
      <w:sz w:val="20"/>
    </w:rPr>
  </w:style>
  <w:style w:type="character" w:styleId="WW8Num6z4">
    <w:name w:val="WW8Num6z4"/>
    <w:qFormat/>
    <w:rPr>
      <w:b w:val="false"/>
      <w:i w:val="false"/>
      <w:sz w:val="18"/>
    </w:rPr>
  </w:style>
  <w:style w:type="character" w:styleId="WW8Num6z8">
    <w:name w:val="WW8Num6z8"/>
    <w:qFormat/>
    <w:rPr>
      <w:b/>
      <w:i w:val="false"/>
      <w:caps/>
      <w:sz w:val="22"/>
    </w:rPr>
  </w:style>
  <w:style w:type="character" w:styleId="WW8Num7z0">
    <w:name w:val="WW8Num7z0"/>
    <w:qFormat/>
    <w:rPr>
      <w:rFonts w:ascii="CG Times" w:hAnsi="CG Times" w:cs="CG Times"/>
      <w:b w:val="false"/>
      <w:i w:val="false"/>
      <w:sz w:val="20"/>
    </w:rPr>
  </w:style>
  <w:style w:type="character" w:styleId="WW8Num7z1">
    <w:name w:val="WW8Num7z1"/>
    <w:qFormat/>
    <w:rPr>
      <w:b w:val="false"/>
      <w:i w:val="false"/>
      <w:sz w:val="20"/>
    </w:rPr>
  </w:style>
  <w:style w:type="character" w:styleId="WW8Num7z2">
    <w:name w:val="WW8Num7z2"/>
    <w:qFormat/>
    <w:rPr>
      <w:b w:val="false"/>
      <w:i w:val="false"/>
      <w:sz w:val="18"/>
    </w:rPr>
  </w:style>
  <w:style w:type="character" w:styleId="WW8Num7z8">
    <w:name w:val="WW8Num7z8"/>
    <w:qFormat/>
    <w:rPr>
      <w:b/>
      <w:i w:val="false"/>
      <w:caps/>
      <w:sz w:val="22"/>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CG Times" w:hAnsi="CG Times" w:cs="CG Times"/>
      <w:b w:val="false"/>
      <w:i w:val="false"/>
      <w:sz w:val="18"/>
    </w:rPr>
  </w:style>
  <w:style w:type="character" w:styleId="WW8Num10z1">
    <w:name w:val="WW8Num10z1"/>
    <w:qFormat/>
    <w:rPr>
      <w:b w:val="false"/>
      <w:i w:val="false"/>
      <w:sz w:val="18"/>
    </w:rPr>
  </w:style>
  <w:style w:type="character" w:styleId="WW8Num10z3">
    <w:name w:val="WW8Num10z3"/>
    <w:qFormat/>
    <w:rPr>
      <w:b w:val="false"/>
      <w:i w:val="false"/>
      <w:sz w:val="20"/>
    </w:rPr>
  </w:style>
  <w:style w:type="character" w:styleId="WW8Num10z8">
    <w:name w:val="WW8Num10z8"/>
    <w:qFormat/>
    <w:rPr>
      <w:b/>
      <w:i w:val="false"/>
      <w:caps/>
      <w:sz w:val="22"/>
    </w:rPr>
  </w:style>
  <w:style w:type="character" w:styleId="WW8Num11z0">
    <w:name w:val="WW8Num11z0"/>
    <w:qFormat/>
    <w:rPr>
      <w:rFonts w:ascii="Symbol" w:hAnsi="Symbol" w:cs="Symbol"/>
    </w:rPr>
  </w:style>
  <w:style w:type="character" w:styleId="WW8Num12z0">
    <w:name w:val="WW8Num12z0"/>
    <w:qFormat/>
    <w:rPr>
      <w:rFonts w:ascii="CG Times" w:hAnsi="CG Times" w:cs="CG Times"/>
      <w:b w:val="false"/>
      <w:i w:val="false"/>
      <w:sz w:val="20"/>
    </w:rPr>
  </w:style>
  <w:style w:type="character" w:styleId="WW8Num12z1">
    <w:name w:val="WW8Num12z1"/>
    <w:qFormat/>
    <w:rPr>
      <w:b w:val="false"/>
      <w:i w:val="false"/>
      <w:sz w:val="20"/>
    </w:rPr>
  </w:style>
  <w:style w:type="character" w:styleId="WW8Num12z2">
    <w:name w:val="WW8Num12z2"/>
    <w:qFormat/>
    <w:rPr>
      <w:b w:val="false"/>
      <w:i w:val="false"/>
      <w:sz w:val="18"/>
    </w:rPr>
  </w:style>
  <w:style w:type="character" w:styleId="WW8Num12z8">
    <w:name w:val="WW8Num12z8"/>
    <w:qFormat/>
    <w:rPr>
      <w:b/>
      <w:i w:val="false"/>
      <w:caps/>
      <w:sz w:val="22"/>
    </w:rPr>
  </w:style>
  <w:style w:type="character" w:styleId="WW8Num13z0">
    <w:name w:val="WW8Num13z0"/>
    <w:qFormat/>
    <w:rPr>
      <w:rFonts w:ascii="Symbol" w:hAnsi="Symbol" w:cs="Symbol"/>
    </w:rPr>
  </w:style>
  <w:style w:type="character" w:styleId="WW8Num14z0">
    <w:name w:val="WW8Num14z0"/>
    <w:qFormat/>
    <w:rPr>
      <w:rFonts w:ascii="CG Times" w:hAnsi="CG Times" w:cs="CG Times"/>
      <w:b w:val="false"/>
      <w:i w:val="false"/>
      <w:sz w:val="20"/>
    </w:rPr>
  </w:style>
  <w:style w:type="character" w:styleId="WW8Num14z1">
    <w:name w:val="WW8Num14z1"/>
    <w:qFormat/>
    <w:rPr>
      <w:b w:val="false"/>
      <w:i w:val="false"/>
      <w:sz w:val="20"/>
    </w:rPr>
  </w:style>
  <w:style w:type="character" w:styleId="WW8Num14z4">
    <w:name w:val="WW8Num14z4"/>
    <w:qFormat/>
    <w:rPr>
      <w:b w:val="false"/>
      <w:i w:val="false"/>
      <w:sz w:val="18"/>
    </w:rPr>
  </w:style>
  <w:style w:type="character" w:styleId="WW8Num14z8">
    <w:name w:val="WW8Num14z8"/>
    <w:qFormat/>
    <w:rPr>
      <w:b/>
      <w:i w:val="false"/>
      <w:caps/>
      <w:sz w:val="22"/>
    </w:rPr>
  </w:style>
  <w:style w:type="character" w:styleId="WW8Num16z0">
    <w:name w:val="WW8Num16z0"/>
    <w:qFormat/>
    <w:rPr>
      <w:rFonts w:ascii="CG Times" w:hAnsi="CG Times" w:cs="CG Times"/>
      <w:b/>
      <w:sz w:val="21"/>
    </w:rPr>
  </w:style>
  <w:style w:type="character" w:styleId="WW8Num17z0">
    <w:name w:val="WW8Num17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rFonts w:ascii="CG Times" w:hAnsi="CG Times" w:cs="CG Times"/>
      <w:vertAlign w:val="superscript"/>
    </w:rPr>
  </w:style>
  <w:style w:type="character" w:styleId="FootnoteCharacters">
    <w:name w:val="Footnote Characters"/>
    <w:basedOn w:val="DefaultParagraphFont"/>
    <w:qFormat/>
    <w:rPr>
      <w:rFonts w:ascii="CG Times" w:hAnsi="CG Times" w:cs="CG Times"/>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624"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lineRule="auto" w:line="240" w:before="0" w:after="0"/>
    </w:pPr>
    <w:rPr>
      <w:sz w:val="16"/>
    </w:rPr>
  </w:style>
  <w:style w:type="paragraph" w:styleId="Header">
    <w:name w:val="header"/>
    <w:basedOn w:val="Normal"/>
    <w:pPr>
      <w:spacing w:lineRule="auto" w:line="240" w:before="0" w:after="0"/>
    </w:pPr>
    <w:rPr>
      <w:sz w:val="16"/>
    </w:rPr>
  </w:style>
  <w:style w:type="paragraph" w:styleId="BodyText2">
    <w:name w:val="Body Text 2"/>
    <w:basedOn w:val="Normal"/>
    <w:qFormat/>
    <w:pPr>
      <w:ind w:hanging="0" w:start="1417" w:end="0"/>
    </w:pPr>
    <w:rPr/>
  </w:style>
  <w:style w:type="paragraph" w:styleId="BodyText3">
    <w:name w:val="Body Text 3"/>
    <w:basedOn w:val="Normal"/>
    <w:qFormat/>
    <w:pPr>
      <w:ind w:hanging="0" w:start="1928" w:end="0"/>
    </w:pPr>
    <w:rPr/>
  </w:style>
  <w:style w:type="paragraph" w:styleId="BodyText4">
    <w:name w:val="Body Text 4"/>
    <w:basedOn w:val="Normal"/>
    <w:qFormat/>
    <w:pPr>
      <w:ind w:hanging="0" w:start="2438" w:end="0"/>
    </w:pPr>
    <w:rPr/>
  </w:style>
  <w:style w:type="paragraph" w:styleId="BodyText5">
    <w:name w:val="Body Text 5"/>
    <w:basedOn w:val="Normal"/>
    <w:qFormat/>
    <w:pPr>
      <w:ind w:hanging="0" w:start="2948" w:end="0"/>
    </w:pPr>
    <w:rPr/>
  </w:style>
  <w:style w:type="paragraph" w:styleId="Signature">
    <w:name w:val="Signature"/>
    <w:basedOn w:val="Normal"/>
    <w:pPr>
      <w:ind w:hanging="0" w:start="4252" w:end="0"/>
    </w:pPr>
    <w:rPr/>
  </w:style>
  <w:style w:type="paragraph" w:styleId="ListAlpha1">
    <w:name w:val="List Alpha 1"/>
    <w:basedOn w:val="Normal"/>
    <w:next w:val="BodyText"/>
    <w:qFormat/>
    <w:pPr>
      <w:numPr>
        <w:ilvl w:val="0"/>
        <w:numId w:val="8"/>
      </w:numPr>
      <w:tabs>
        <w:tab w:val="clear" w:pos="720"/>
        <w:tab w:val="left" w:pos="22" w:leader="none"/>
      </w:tabs>
    </w:pPr>
    <w:rPr/>
  </w:style>
  <w:style w:type="paragraph" w:styleId="ListAlpha2">
    <w:name w:val="List Alpha 2"/>
    <w:basedOn w:val="Normal"/>
    <w:next w:val="BodyText2"/>
    <w:qFormat/>
    <w:pPr>
      <w:numPr>
        <w:ilvl w:val="0"/>
        <w:numId w:val="8"/>
      </w:numPr>
      <w:tabs>
        <w:tab w:val="clear" w:pos="720"/>
        <w:tab w:val="left" w:pos="50" w:leader="none"/>
      </w:tabs>
    </w:pPr>
    <w:rPr/>
  </w:style>
  <w:style w:type="paragraph" w:styleId="ListAlpha3">
    <w:name w:val="List Alpha 3"/>
    <w:basedOn w:val="Normal"/>
    <w:next w:val="BodyText3"/>
    <w:qFormat/>
    <w:pPr>
      <w:numPr>
        <w:ilvl w:val="0"/>
        <w:numId w:val="8"/>
      </w:numPr>
      <w:tabs>
        <w:tab w:val="clear" w:pos="720"/>
        <w:tab w:val="left" w:pos="68" w:leader="none"/>
      </w:tabs>
    </w:pPr>
    <w:rPr/>
  </w:style>
  <w:style w:type="paragraph" w:styleId="ListALPHACAPS1">
    <w:name w:val="List ALPHA CAPS 1"/>
    <w:basedOn w:val="Normal"/>
    <w:next w:val="BodyText"/>
    <w:qFormat/>
    <w:pPr>
      <w:numPr>
        <w:ilvl w:val="0"/>
        <w:numId w:val="4"/>
      </w:numPr>
      <w:tabs>
        <w:tab w:val="clear" w:pos="720"/>
        <w:tab w:val="left" w:pos="22" w:leader="none"/>
      </w:tabs>
    </w:pPr>
    <w:rPr/>
  </w:style>
  <w:style w:type="paragraph" w:styleId="LISTALPHACAPS2">
    <w:name w:val="LIST ALPHA CAPS 2"/>
    <w:basedOn w:val="Normal"/>
    <w:next w:val="BodyText2"/>
    <w:qFormat/>
    <w:pPr>
      <w:numPr>
        <w:ilvl w:val="0"/>
        <w:numId w:val="4"/>
      </w:numPr>
      <w:tabs>
        <w:tab w:val="clear" w:pos="720"/>
        <w:tab w:val="left" w:pos="50" w:leader="none"/>
      </w:tabs>
    </w:pPr>
    <w:rPr/>
  </w:style>
  <w:style w:type="paragraph" w:styleId="LISTALPHACAPS3">
    <w:name w:val="LIST ALPHA CAPS 3"/>
    <w:basedOn w:val="Normal"/>
    <w:next w:val="BodyText3"/>
    <w:qFormat/>
    <w:pPr>
      <w:numPr>
        <w:ilvl w:val="0"/>
        <w:numId w:val="4"/>
      </w:numPr>
      <w:tabs>
        <w:tab w:val="clear" w:pos="720"/>
        <w:tab w:val="left" w:pos="68" w:leader="none"/>
      </w:tabs>
    </w:pPr>
    <w:rPr/>
  </w:style>
  <w:style w:type="paragraph" w:styleId="ListArabic1">
    <w:name w:val="List Arabic 1"/>
    <w:basedOn w:val="Normal"/>
    <w:next w:val="BodyText"/>
    <w:qFormat/>
    <w:pPr>
      <w:numPr>
        <w:ilvl w:val="0"/>
        <w:numId w:val="3"/>
      </w:numPr>
      <w:tabs>
        <w:tab w:val="clear" w:pos="720"/>
        <w:tab w:val="left" w:pos="22" w:leader="none"/>
      </w:tabs>
    </w:pPr>
    <w:rPr/>
  </w:style>
  <w:style w:type="paragraph" w:styleId="ListArabic2">
    <w:name w:val="List Arabic 2"/>
    <w:basedOn w:val="Normal"/>
    <w:next w:val="BodyText2"/>
    <w:qFormat/>
    <w:pPr>
      <w:numPr>
        <w:ilvl w:val="0"/>
        <w:numId w:val="3"/>
      </w:numPr>
      <w:tabs>
        <w:tab w:val="clear" w:pos="720"/>
        <w:tab w:val="left" w:pos="50" w:leader="none"/>
      </w:tabs>
    </w:pPr>
    <w:rPr/>
  </w:style>
  <w:style w:type="paragraph" w:styleId="ListArabic3">
    <w:name w:val="List Arabic 3"/>
    <w:basedOn w:val="Normal"/>
    <w:next w:val="BodyText3"/>
    <w:qFormat/>
    <w:pPr>
      <w:numPr>
        <w:ilvl w:val="0"/>
        <w:numId w:val="3"/>
      </w:numPr>
      <w:tabs>
        <w:tab w:val="clear" w:pos="720"/>
        <w:tab w:val="left" w:pos="68" w:leader="none"/>
      </w:tabs>
    </w:pPr>
    <w:rPr/>
  </w:style>
  <w:style w:type="paragraph" w:styleId="ListArabic4">
    <w:name w:val="List Arabic 4"/>
    <w:basedOn w:val="Normal"/>
    <w:next w:val="BodyText4"/>
    <w:qFormat/>
    <w:pPr>
      <w:numPr>
        <w:ilvl w:val="0"/>
        <w:numId w:val="7"/>
      </w:numPr>
      <w:tabs>
        <w:tab w:val="clear" w:pos="720"/>
        <w:tab w:val="left" w:pos="86" w:leader="none"/>
      </w:tabs>
    </w:pPr>
    <w:rPr/>
  </w:style>
  <w:style w:type="paragraph" w:styleId="ListLegal1">
    <w:name w:val="List Legal 1"/>
    <w:basedOn w:val="Normal"/>
    <w:next w:val="BodyText"/>
    <w:qFormat/>
    <w:pPr>
      <w:numPr>
        <w:ilvl w:val="0"/>
        <w:numId w:val="7"/>
      </w:numPr>
      <w:tabs>
        <w:tab w:val="clear" w:pos="720"/>
        <w:tab w:val="left" w:pos="22" w:leader="none"/>
      </w:tabs>
    </w:pPr>
    <w:rPr/>
  </w:style>
  <w:style w:type="paragraph" w:styleId="ListLegal2">
    <w:name w:val="List Legal 2"/>
    <w:basedOn w:val="Normal"/>
    <w:next w:val="BodyText"/>
    <w:qFormat/>
    <w:pPr>
      <w:numPr>
        <w:ilvl w:val="0"/>
        <w:numId w:val="7"/>
      </w:numPr>
      <w:tabs>
        <w:tab w:val="clear" w:pos="720"/>
        <w:tab w:val="left" w:pos="22" w:leader="none"/>
      </w:tabs>
    </w:pPr>
    <w:rPr/>
  </w:style>
  <w:style w:type="paragraph" w:styleId="ListLegal3">
    <w:name w:val="List Legal 3"/>
    <w:basedOn w:val="Normal"/>
    <w:next w:val="BodyText2"/>
    <w:qFormat/>
    <w:pPr>
      <w:numPr>
        <w:ilvl w:val="0"/>
        <w:numId w:val="7"/>
      </w:numPr>
      <w:tabs>
        <w:tab w:val="clear" w:pos="720"/>
        <w:tab w:val="left" w:pos="50" w:leader="none"/>
      </w:tabs>
    </w:pPr>
    <w:rPr/>
  </w:style>
  <w:style w:type="paragraph" w:styleId="ListRoman1">
    <w:name w:val="List Roman 1"/>
    <w:basedOn w:val="Normal"/>
    <w:next w:val="BodyText"/>
    <w:qFormat/>
    <w:pPr>
      <w:numPr>
        <w:ilvl w:val="0"/>
        <w:numId w:val="6"/>
      </w:numPr>
      <w:tabs>
        <w:tab w:val="clear" w:pos="720"/>
        <w:tab w:val="left" w:pos="22" w:leader="none"/>
      </w:tabs>
    </w:pPr>
    <w:rPr/>
  </w:style>
  <w:style w:type="paragraph" w:styleId="ListRoman2">
    <w:name w:val="List Roman 2"/>
    <w:basedOn w:val="Normal"/>
    <w:next w:val="BodyText2"/>
    <w:qFormat/>
    <w:pPr>
      <w:numPr>
        <w:ilvl w:val="0"/>
        <w:numId w:val="6"/>
      </w:numPr>
      <w:tabs>
        <w:tab w:val="clear" w:pos="720"/>
        <w:tab w:val="left" w:pos="50" w:leader="none"/>
      </w:tabs>
    </w:pPr>
    <w:rPr/>
  </w:style>
  <w:style w:type="paragraph" w:styleId="ListRoman3">
    <w:name w:val="List Roman 3"/>
    <w:basedOn w:val="Normal"/>
    <w:next w:val="BodyText3"/>
    <w:qFormat/>
    <w:pPr>
      <w:numPr>
        <w:ilvl w:val="0"/>
        <w:numId w:val="6"/>
      </w:numPr>
      <w:tabs>
        <w:tab w:val="clear" w:pos="720"/>
        <w:tab w:val="left" w:pos="68" w:leader="none"/>
      </w:tabs>
    </w:pPr>
    <w:rPr/>
  </w:style>
  <w:style w:type="paragraph" w:styleId="TOC2">
    <w:name w:val="toc 2"/>
    <w:basedOn w:val="Normal"/>
    <w:next w:val="Normal"/>
    <w:pPr/>
    <w:rPr/>
  </w:style>
  <w:style w:type="paragraph" w:styleId="EndnoteText">
    <w:name w:val="endnote text"/>
    <w:basedOn w:val="Normal"/>
    <w:pPr>
      <w:tabs>
        <w:tab w:val="clear" w:pos="720"/>
        <w:tab w:val="left" w:pos="113" w:leader="none"/>
      </w:tabs>
      <w:spacing w:before="0" w:after="100"/>
      <w:ind w:hanging="113" w:start="113" w:end="0"/>
    </w:pPr>
    <w:rPr>
      <w:sz w:val="18"/>
    </w:rPr>
  </w:style>
  <w:style w:type="paragraph" w:styleId="FootnoteText">
    <w:name w:val="footnote text"/>
    <w:basedOn w:val="Normal"/>
    <w:pPr>
      <w:tabs>
        <w:tab w:val="clear" w:pos="720"/>
        <w:tab w:val="left" w:pos="113" w:leader="none"/>
      </w:tabs>
      <w:spacing w:before="0" w:after="100"/>
      <w:ind w:hanging="113" w:start="113" w:end="0"/>
    </w:pPr>
    <w:rPr>
      <w:sz w:val="18"/>
    </w:rPr>
  </w:style>
  <w:style w:type="paragraph" w:styleId="NotesAlpha">
    <w:name w:val="Notes Alpha"/>
    <w:basedOn w:val="Normal"/>
    <w:qFormat/>
    <w:pPr>
      <w:numPr>
        <w:ilvl w:val="0"/>
        <w:numId w:val="9"/>
      </w:numPr>
      <w:spacing w:before="0" w:after="100"/>
    </w:pPr>
    <w:rPr/>
  </w:style>
  <w:style w:type="paragraph" w:styleId="NotesArabic">
    <w:name w:val="Notes Arabic"/>
    <w:basedOn w:val="Normal"/>
    <w:qFormat/>
    <w:pPr>
      <w:numPr>
        <w:ilvl w:val="0"/>
        <w:numId w:val="9"/>
      </w:numPr>
      <w:spacing w:before="0" w:after="100"/>
    </w:pPr>
    <w:rPr/>
  </w:style>
  <w:style w:type="paragraph" w:styleId="NotesRoman">
    <w:name w:val="Notes Roman"/>
    <w:basedOn w:val="Normal"/>
    <w:qFormat/>
    <w:pPr>
      <w:numPr>
        <w:ilvl w:val="0"/>
        <w:numId w:val="9"/>
      </w:numPr>
      <w:tabs>
        <w:tab w:val="clear" w:pos="720"/>
        <w:tab w:val="left" w:pos="624" w:leader="none"/>
      </w:tabs>
      <w:spacing w:before="0" w:after="100"/>
    </w:pPr>
    <w:rPr/>
  </w:style>
  <w:style w:type="paragraph" w:styleId="RightTab">
    <w:name w:val="Right Tab"/>
    <w:basedOn w:val="Normal"/>
    <w:next w:val="Normal"/>
    <w:qFormat/>
    <w:pPr>
      <w:tabs>
        <w:tab w:val="clear" w:pos="720"/>
        <w:tab w:val="right" w:pos="8505" w:leader="none"/>
      </w:tabs>
      <w:spacing w:before="0" w:after="100"/>
    </w:pPr>
    <w:rPr/>
  </w:style>
  <w:style w:type="paragraph" w:styleId="TOC1">
    <w:name w:val="toc 1"/>
    <w:basedOn w:val="Normal"/>
    <w:next w:val="Normal"/>
    <w:pPr/>
    <w:rPr/>
  </w:style>
  <w:style w:type="paragraph" w:styleId="TOC3">
    <w:name w:val="toc 3"/>
    <w:basedOn w:val="Normal"/>
    <w:next w:val="Normal"/>
    <w:pPr/>
    <w:rPr/>
  </w:style>
  <w:style w:type="paragraph" w:styleId="TOC4">
    <w:name w:val="toc 4"/>
    <w:basedOn w:val="Normal"/>
    <w:next w:val="Normal"/>
    <w:pPr/>
    <w:rPr/>
  </w:style>
  <w:style w:type="paragraph" w:styleId="ListBullet">
    <w:name w:val="List Bullet"/>
    <w:basedOn w:val="Normal"/>
    <w:qFormat/>
    <w:pPr>
      <w:numPr>
        <w:ilvl w:val="0"/>
        <w:numId w:val="11"/>
      </w:numPr>
      <w:tabs>
        <w:tab w:val="clear" w:pos="720"/>
        <w:tab w:val="left" w:pos="1134" w:leader="none"/>
      </w:tabs>
      <w:ind w:hanging="0" w:start="1134" w:end="0"/>
    </w:pPr>
    <w:rPr/>
  </w:style>
  <w:style w:type="paragraph" w:styleId="PartHeadings">
    <w:name w:val="Part Headings"/>
    <w:basedOn w:val="Normal"/>
    <w:next w:val="Normal"/>
    <w:qFormat/>
    <w:pPr>
      <w:numPr>
        <w:ilvl w:val="0"/>
        <w:numId w:val="10"/>
      </w:numPr>
      <w:suppressAutoHyphens w:val="true"/>
      <w:spacing w:lineRule="auto" w:line="312" w:before="0" w:after="300"/>
      <w:jc w:val="center"/>
      <w:outlineLvl w:val="2"/>
    </w:pPr>
    <w:rPr>
      <w:b/>
      <w:sz w:val="21"/>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Other CC Document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1999-06-23T09:27:00Z</dcterms:created>
  <dc:creator>Wilkinson</dc:creator>
  <dc:description/>
  <dc:language>en-CA</dc:language>
  <cp:lastModifiedBy>Justin Boyd</cp:lastModifiedBy>
  <cp:lastPrinted>1999-06-23T11:42:00Z</cp:lastPrinted>
  <dcterms:modified xsi:type="dcterms:W3CDTF">1999-06-24T05:28:00Z</dcterms:modified>
  <cp:revision>16</cp:revision>
  <dc:subject/>
  <dc:title>Enron European Internet Overview</dc:title>
</cp:coreProperties>
</file>