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UK Version 1 – 13 October 2000</w:t>
      </w:r>
    </w:p>
    <w:p>
      <w:pPr>
        <w:pStyle w:val="Normal"/>
        <w:jc w:val="center"/>
        <w:rPr>
          <w:b/>
        </w:rPr>
      </w:pPr>
      <w:r>
        <w:rPr>
          <w:b/>
        </w:rPr>
        <w:t>ELECTRONIC TRADING AGREEMENT</w:t>
      </w:r>
    </w:p>
    <w:p>
      <w:pPr>
        <w:pStyle w:val="Normal"/>
        <w:jc w:val="both"/>
        <w:rPr/>
      </w:pPr>
      <w:r>
        <w:rPr/>
        <w:t xml:space="preserve">WHEREAS, Enron Power Operations Limited whose registered office is at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 Nothing in this Agreement shall have the effect of limiting or restricting either party's liability arising as a result of fraud.</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This Agreement shall be governed by and construed in accordance with English law and the parties hereby submit to the exclusive jurisdiction of the English Courts.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2000-10-13T13:06:00Z</dcterms:created>
  <dc:creator>dhalley</dc:creator>
  <dc:description/>
  <dc:language>en-CA</dc:language>
  <cp:lastModifiedBy>nbeales</cp:lastModifiedBy>
  <dcterms:modified xsi:type="dcterms:W3CDTF">2000-10-13T13:06:00Z</dcterms:modified>
  <cp:revision>3</cp:revision>
  <dc:subject/>
  <dc:title>UK Version 2 - 27 November 1999</dc:title>
</cp:coreProperties>
</file>