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UK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Normal"/>
        <w:numPr>
          <w:ilvl w:val="0"/>
          <w:numId w:val="0"/>
        </w:numPr>
        <w:ind w:hanging="0" w:start="2160" w:end="0"/>
        <w:jc w:val="both"/>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jc w:val="both"/>
        <w:outlineLvl w:val="0"/>
        <w:rPr/>
      </w:pPr>
      <w:r>
        <w:rPr>
          <w:rFonts w:cs="Arial" w:ascii="Arial" w:hAnsi="Arial"/>
          <w:i/>
          <w:sz w:val="20"/>
        </w:rPr>
        <w:t xml:space="preserve">"Affiliate" </w:t>
      </w:r>
      <w:r>
        <w:rPr>
          <w:rFonts w:cs="Arial" w:ascii="Arial" w:hAnsi="Arial"/>
          <w:sz w:val="20"/>
        </w:rPr>
        <w:t>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the Reference Entity is adjudicated or found to be insolvent or unable to pay its debts by any court of competent jurisdiction;</w:t>
      </w:r>
    </w:p>
    <w:p>
      <w:pPr>
        <w:pStyle w:val="Normal"/>
        <w:numPr>
          <w:ilvl w:val="0"/>
          <w:numId w:val="0"/>
        </w:numPr>
        <w:ind w:start="720" w:end="0"/>
        <w:outlineLvl w:val="0"/>
        <w:rPr>
          <w:rFonts w:ascii="Arial" w:hAnsi="Arial" w:cs="Arial"/>
          <w:sz w:val="20"/>
        </w:rPr>
      </w:pPr>
      <w:r>
        <w:rPr>
          <w:rFonts w:cs="Arial" w:ascii="Arial" w:hAnsi="Arial"/>
          <w:sz w:val="20"/>
        </w:rPr>
        <w:t>(ii)</w:t>
        <w:tab/>
        <w:t>a resolution is passed to approve a creditor’s voluntary arrangement in respect of the Reference Entity under Part 1 Insolvency Act 1986;</w:t>
      </w:r>
    </w:p>
    <w:p>
      <w:pPr>
        <w:pStyle w:val="Normal"/>
        <w:numPr>
          <w:ilvl w:val="0"/>
          <w:numId w:val="0"/>
        </w:numPr>
        <w:ind w:start="720" w:end="0"/>
        <w:jc w:val="both"/>
        <w:outlineLvl w:val="0"/>
        <w:rPr>
          <w:rFonts w:ascii="Arial" w:hAnsi="Arial" w:cs="Arial"/>
          <w:sz w:val="20"/>
        </w:rPr>
      </w:pPr>
      <w:r>
        <w:rPr>
          <w:rFonts w:cs="Arial" w:ascii="Arial" w:hAnsi="Arial"/>
          <w:sz w:val="20"/>
        </w:rPr>
        <w:t>(iii)</w:t>
        <w:tab/>
        <w:t>a resolution is passed or an order is made to approve a composition or similar arrangement with creditors of the Reference Entity under Section 425 Companies Act 1985;</w:t>
      </w:r>
    </w:p>
    <w:p>
      <w:pPr>
        <w:pStyle w:val="Normal"/>
        <w:numPr>
          <w:ilvl w:val="0"/>
          <w:numId w:val="0"/>
        </w:numPr>
        <w:ind w:start="720" w:end="0"/>
        <w:jc w:val="both"/>
        <w:outlineLvl w:val="0"/>
        <w:rPr>
          <w:rFonts w:ascii="Arial" w:hAnsi="Arial" w:cs="Arial"/>
          <w:sz w:val="20"/>
        </w:rPr>
      </w:pPr>
      <w:r>
        <w:rPr>
          <w:rFonts w:cs="Arial" w:ascii="Arial" w:hAnsi="Arial"/>
          <w:sz w:val="20"/>
        </w:rPr>
        <w:t>(iv)</w:t>
        <w:tab/>
        <w:t>a petition for an administration order in respect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numPr>
          <w:ilvl w:val="0"/>
          <w:numId w:val="0"/>
        </w:numPr>
        <w:ind w:start="720" w:end="0"/>
        <w:jc w:val="both"/>
        <w:outlineLvl w:val="0"/>
        <w:rPr>
          <w:rFonts w:ascii="Arial" w:hAnsi="Arial" w:cs="Arial"/>
          <w:sz w:val="20"/>
        </w:rPr>
      </w:pPr>
      <w:r>
        <w:rPr>
          <w:rFonts w:cs="Arial" w:ascii="Arial" w:hAnsi="Arial"/>
          <w:sz w:val="20"/>
        </w:rPr>
        <w:t>(v)</w:t>
        <w:tab/>
        <w:t>an administration order is made in respect of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(vi)</w:t>
        <w:tab/>
        <w: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numPr>
          <w:ilvl w:val="0"/>
          <w:numId w:val="0"/>
        </w:numPr>
        <w:ind w:start="720" w:end="0"/>
        <w:jc w:val="both"/>
        <w:outlineLvl w:val="0"/>
        <w:rPr>
          <w:rFonts w:ascii="Arial" w:hAnsi="Arial" w:cs="Arial"/>
          <w:sz w:val="20"/>
        </w:rPr>
      </w:pPr>
      <w:r>
        <w:rPr>
          <w:rFonts w:cs="Arial" w:ascii="Arial" w:hAnsi="Arial"/>
          <w:sz w:val="20"/>
        </w:rPr>
        <w:t>(vii)</w:t>
        <w:tab/>
        <w:t xml:space="preserve">an administrative receiver or receiver or manager is appointed in relation to the Reference Entity or all, or substantially all, of its undertaking or assets; </w:t>
      </w:r>
    </w:p>
    <w:p>
      <w:pPr>
        <w:pStyle w:val="Normal"/>
        <w:numPr>
          <w:ilvl w:val="0"/>
          <w:numId w:val="0"/>
        </w:numPr>
        <w:ind w:start="720" w:end="0"/>
        <w:jc w:val="both"/>
        <w:outlineLvl w:val="0"/>
        <w:rPr>
          <w:rFonts w:ascii="Arial" w:hAnsi="Arial" w:cs="Arial"/>
          <w:sz w:val="20"/>
        </w:rPr>
      </w:pPr>
      <w:r>
        <w:rPr>
          <w:rFonts w:cs="Arial" w:ascii="Arial" w:hAnsi="Arial"/>
          <w:sz w:val="20"/>
        </w:rPr>
        <w:t>(viii)</w:t>
        <w:tab/>
        <w:t xml:space="preserve">a liquidator, provisional liquidator or similar official is appointed in relation to the Reference Entity or all, or substantially all, of its undertaking or assets (other than for the purposes of an amalgamation, merger, consolidation, reorganisation, reconstruction or other arrangement in each case not involving the insolvency of the Reference Entity); </w:t>
      </w:r>
    </w:p>
    <w:p>
      <w:pPr>
        <w:pStyle w:val="Normal"/>
        <w:numPr>
          <w:ilvl w:val="0"/>
          <w:numId w:val="0"/>
        </w:numPr>
        <w:ind w:start="720" w:end="0"/>
        <w:jc w:val="both"/>
        <w:outlineLvl w:val="0"/>
        <w:rPr>
          <w:rFonts w:ascii="Arial" w:hAnsi="Arial" w:cs="Arial"/>
          <w:sz w:val="20"/>
        </w:rPr>
      </w:pPr>
      <w:r>
        <w:rPr>
          <w:rFonts w:cs="Arial" w:ascii="Arial" w:hAnsi="Arial"/>
          <w:sz w:val="20"/>
        </w:rPr>
        <w:t>(ix)</w:t>
        <w:tab/>
        <w: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t>
      </w:r>
    </w:p>
    <w:p>
      <w:pPr>
        <w:pStyle w:val="Normal"/>
        <w:numPr>
          <w:ilvl w:val="0"/>
          <w:numId w:val="0"/>
        </w:numPr>
        <w:ind w:start="720" w:end="0"/>
        <w:jc w:val="both"/>
        <w:outlineLvl w:val="0"/>
        <w:rPr>
          <w:rFonts w:ascii="Arial" w:hAnsi="Arial" w:cs="Arial"/>
          <w:sz w:val="20"/>
        </w:rPr>
      </w:pPr>
      <w:r>
        <w:rPr>
          <w:rFonts w:cs="Arial" w:ascii="Arial" w:hAnsi="Arial"/>
          <w:sz w:val="20"/>
        </w:rPr>
        <w:t>(x)</w:t>
        <w:tab/>
        <w:t xml:space="preserve">any event with consequences similar or analogous to any of those referred to in (i) to (ix) (inclusive) above occurs in any jurisdiction outside England and Wales in relation to the Reference Entity. </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after the Effective Date for that Transaction;</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The Times or the Daily Telegraph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6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2000-02-17T07:34:00Z</dcterms:created>
  <dc:creator>NEdmonds</dc:creator>
  <dc:description/>
  <dc:language>en-CA</dc:language>
  <cp:lastModifiedBy>ECooper</cp:lastModifiedBy>
  <dcterms:modified xsi:type="dcterms:W3CDTF">2000-02-17T17:11:00Z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