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sz w:val="28"/>
        </w:rPr>
        <w:t>THE</w:t>
      </w:r>
      <w:r>
        <w:rPr>
          <w:b/>
          <w:sz w:val="28"/>
        </w:rPr>
        <w:t xml:space="preserve"> TESLA</w:t>
      </w:r>
      <w:r>
        <w:rPr>
          <w:b/>
          <w:vertAlign w:val="superscript"/>
        </w:rPr>
        <w:t>™</w:t>
      </w:r>
      <w:r>
        <w:rPr>
          <w:b/>
          <w:sz w:val="28"/>
        </w:rPr>
        <w:t xml:space="preserve"> LOAD FORECASTING</w:t>
      </w:r>
      <w:r>
        <w:rPr>
          <w:sz w:val="28"/>
        </w:rPr>
        <w:t xml:space="preserve"> MODEL</w:t>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2">
                <wp:simplePos x="0" y="0"/>
                <wp:positionH relativeFrom="column">
                  <wp:posOffset>-291465</wp:posOffset>
                </wp:positionH>
                <wp:positionV relativeFrom="paragraph">
                  <wp:posOffset>12700</wp:posOffset>
                </wp:positionV>
                <wp:extent cx="6057900" cy="0"/>
                <wp:effectExtent l="0" t="5080" r="0" b="5080"/>
                <wp:wrapNone/>
                <wp:docPr id="1" nam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95pt,1pt" to="454pt,1pt" stroked="t" o:allowincell="f" style="position:absolute">
                <v:stroke color="black" weight="9360" joinstyle="miter" endcap="flat"/>
                <v:fill o:detectmouseclick="t" on="false"/>
                <w10:wrap type="none"/>
              </v:line>
            </w:pict>
          </mc:Fallback>
        </mc:AlternateContent>
      </w:r>
    </w:p>
    <w:p>
      <w:pPr>
        <w:pStyle w:val="Normal"/>
        <w:rPr>
          <w:b/>
        </w:rPr>
      </w:pPr>
      <w:r>
        <w:rPr>
          <w:b/>
        </w:rPr>
      </w:r>
    </w:p>
    <w:p>
      <w:pPr>
        <w:pStyle w:val="Normal"/>
        <w:rPr>
          <w:b/>
        </w:rPr>
      </w:pPr>
      <w:r>
        <w:rPr>
          <w:b/>
        </w:rPr>
      </w:r>
    </w:p>
    <w:p>
      <w:pPr>
        <w:pStyle w:val="Heading4"/>
        <w:ind w:hanging="0" w:start="0"/>
        <w:rPr/>
      </w:pPr>
      <w:r>
        <w:rPr/>
        <w:t>Out-Of-Sample Forecast Accuracy</w:t>
      </w:r>
    </w:p>
    <w:p>
      <w:pPr>
        <w:pStyle w:val="Header"/>
        <w:tabs>
          <w:tab w:val="clear" w:pos="4320"/>
          <w:tab w:val="clear" w:pos="8640"/>
        </w:tabs>
        <w:rPr/>
      </w:pPr>
      <w:r>
        <w:rPr/>
      </w:r>
    </w:p>
    <w:p>
      <w:pPr>
        <w:pStyle w:val="Header"/>
        <w:tabs>
          <w:tab w:val="clear" w:pos="4320"/>
          <w:tab w:val="clear" w:pos="8640"/>
        </w:tabs>
        <w:rPr/>
      </w:pPr>
      <w:r>
        <w:rPr/>
      </w:r>
    </w:p>
    <w:p>
      <w:pPr>
        <w:pStyle w:val="BodyText"/>
        <w:jc w:val="center"/>
        <w:rPr/>
      </w:pPr>
      <w:r>
        <w:rPr/>
        <w:t>Average MAPEs of TESLA</w:t>
      </w:r>
      <w:r>
        <w:rPr>
          <w:sz w:val="16"/>
          <w:vertAlign w:val="superscript"/>
        </w:rPr>
        <w:t>TM</w:t>
      </w:r>
      <w:r>
        <w:rPr/>
        <w:t xml:space="preserve"> Load Forecasting model</w:t>
      </w:r>
    </w:p>
    <w:p>
      <w:pPr>
        <w:pStyle w:val="BodyText"/>
        <w:jc w:val="center"/>
        <w:rPr/>
      </w:pPr>
      <w:r>
        <w:rPr/>
        <w:t>(over a 90-day period Sept. – Nov. 1999)</w:t>
      </w:r>
    </w:p>
    <w:p>
      <w:pPr>
        <w:pStyle w:val="Normal"/>
        <w:jc w:val="both"/>
        <w:rPr>
          <w:sz w:val="24"/>
        </w:rPr>
      </w:pPr>
      <w:r>
        <w:rPr>
          <w:sz w:val="24"/>
        </w:rPr>
      </w:r>
    </w:p>
    <w:p>
      <w:pPr>
        <w:pStyle w:val="Normal"/>
        <w:jc w:val="both"/>
        <w:rPr>
          <w:sz w:val="24"/>
        </w:rPr>
      </w:pPr>
      <w:r>
        <w:rPr>
          <w:sz w:val="24"/>
        </w:rPr>
      </w:r>
    </w:p>
    <w:p>
      <w:pPr>
        <w:pStyle w:val="Heading3"/>
        <w:rPr/>
      </w:pPr>
      <w:r>
        <w:rPr/>
        <w:t>One-day-ahead forecast:</w:t>
        <w:tab/>
        <w:tab/>
        <w:t>1.160 %</w:t>
      </w:r>
    </w:p>
    <w:p>
      <w:pPr>
        <w:pStyle w:val="Normal"/>
        <w:ind w:firstLine="720" w:start="1440" w:end="0"/>
        <w:rPr>
          <w:b/>
          <w:sz w:val="24"/>
        </w:rPr>
      </w:pPr>
      <w:r>
        <w:rPr>
          <w:b/>
          <w:sz w:val="24"/>
        </w:rPr>
      </w:r>
    </w:p>
    <w:p>
      <w:pPr>
        <w:pStyle w:val="Heading3"/>
        <w:rPr/>
      </w:pPr>
      <w:r>
        <w:rPr/>
        <w:t>Two-day-ahead forecast:</w:t>
        <w:tab/>
        <w:tab/>
        <w:t>1.164%</w:t>
      </w:r>
    </w:p>
    <w:p>
      <w:pPr>
        <w:pStyle w:val="Normal"/>
        <w:ind w:firstLine="720" w:start="1440" w:end="0"/>
        <w:rPr>
          <w:b/>
          <w:sz w:val="24"/>
        </w:rPr>
      </w:pPr>
      <w:r>
        <w:rPr>
          <w:b/>
          <w:sz w:val="24"/>
        </w:rPr>
      </w:r>
    </w:p>
    <w:p>
      <w:pPr>
        <w:pStyle w:val="Normal"/>
        <w:ind w:firstLine="720" w:start="1440" w:end="0"/>
        <w:rPr/>
      </w:pPr>
      <w:r>
        <w:rPr>
          <w:b/>
          <w:sz w:val="24"/>
        </w:rPr>
        <w:t>Three-day-ahead forecast:</w:t>
        <w:tab/>
        <w:tab/>
        <w:t>1.180%</w:t>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r>
    </w:p>
    <w:p>
      <w:pPr>
        <w:pStyle w:val="Normal"/>
        <w:jc w:val="both"/>
        <w:rPr>
          <w:b/>
          <w:i/>
          <w:i/>
          <w:sz w:val="24"/>
        </w:rPr>
      </w:pPr>
      <w:r>
        <w:rPr>
          <w:b/>
          <w:i/>
          <w:sz w:val="24"/>
        </w:rPr>
        <w:t>METHODOLOGY:</w:t>
      </w:r>
    </w:p>
    <w:p>
      <w:pPr>
        <w:pStyle w:val="Normal"/>
        <w:jc w:val="both"/>
        <w:rPr>
          <w:b/>
          <w:i/>
          <w:i/>
          <w:sz w:val="24"/>
        </w:rPr>
      </w:pPr>
      <w:r>
        <w:rPr>
          <w:b/>
          <w:i/>
          <w:sz w:val="24"/>
        </w:rPr>
      </w:r>
    </w:p>
    <w:p>
      <w:pPr>
        <w:pStyle w:val="Normal"/>
        <w:jc w:val="both"/>
        <w:rPr/>
      </w:pPr>
      <w:r>
        <w:rPr/>
      </w:r>
    </w:p>
    <w:p>
      <w:pPr>
        <w:pStyle w:val="BodyText2"/>
        <w:rPr>
          <w:sz w:val="24"/>
        </w:rPr>
      </w:pPr>
      <w:r>
        <w:rPr>
          <w:sz w:val="24"/>
        </w:rPr>
        <w:t xml:space="preserve">To generate 90 out-of-sample forecasts, we began by estimating the model on data from the period April 1, 1990 through midnight (2400 hours) of August 31, 1999.  Using these parameters, we computed a forecast for September 1, September 2 and September 3, 1999.  This provided our first forecast.  We then extended the estimation sample to span the period of April 1, 1990 through September 1, 1999, re-estimated the parameters, and created a forecast for September 2 through September 4, 1999, which gave us our second forecast.  We repeated this process of rolling the model forward until we had accumulated 90 one-day-ahead, two-day-ahead and three-day-ahead forecasts, covering exhaustively the period of September 1 through November 29, 1999.  The forecasts were generated using actual weather.  This gives a clear estimate of true model forecast error, not of weather forecast error.   Note that these forecasts include weekends and holidays. </w:t>
      </w:r>
    </w:p>
    <w:p>
      <w:pPr>
        <w:pStyle w:val="Normal"/>
        <w:jc w:val="both"/>
        <w:rPr>
          <w:sz w:val="24"/>
        </w:rPr>
      </w:pPr>
      <w:r>
        <w:rPr>
          <w:sz w:val="24"/>
        </w:rPr>
      </w:r>
    </w:p>
    <w:p>
      <w:pPr>
        <w:pStyle w:val="Normal"/>
        <w:jc w:val="both"/>
        <w:rPr/>
      </w:pPr>
      <w:r>
        <w:rPr/>
      </w:r>
    </w:p>
    <w:p>
      <w:pPr>
        <w:pStyle w:val="Normal"/>
        <w:jc w:val="both"/>
        <w:rPr>
          <w:sz w:val="24"/>
        </w:rPr>
      </w:pPr>
      <w:r>
        <w:rPr>
          <w:sz w:val="24"/>
        </w:rPr>
        <w:t>For each of the ninety forecasts, the MAPEs were computed separately for each day of the forecast.  All ninety “one-day-ahead” MAPEs were then averaged, as were the MAPEs for the “two-day-ahead” and the “three-day-ahead” forecasts.</w:t>
      </w:r>
    </w:p>
    <w:p>
      <w:pPr>
        <w:pStyle w:val="Normal"/>
        <w:jc w:val="both"/>
        <w:rPr>
          <w:sz w:val="24"/>
        </w:rPr>
      </w:pPr>
      <w:r>
        <w:rPr>
          <w:sz w:val="24"/>
        </w:rPr>
      </w:r>
    </w:p>
    <w:p>
      <w:pPr>
        <w:pStyle w:val="Normal"/>
        <w:jc w:val="both"/>
        <w:rPr/>
      </w:pPr>
      <w:r>
        <w:rPr/>
      </w:r>
    </w:p>
    <w:p>
      <w:pPr>
        <w:pStyle w:val="BodyText3"/>
        <w:rPr/>
      </w:pPr>
      <w:r>
        <w:rPr>
          <w:sz w:val="24"/>
        </w:rPr>
        <w:t xml:space="preserve">The forecast accuracy of the </w:t>
      </w:r>
      <w:r>
        <w:rPr>
          <w:b/>
          <w:sz w:val="24"/>
        </w:rPr>
        <w:t>TESLA</w:t>
      </w:r>
      <w:r>
        <w:rPr>
          <w:vertAlign w:val="superscript"/>
        </w:rPr>
        <w:t>TM</w:t>
      </w:r>
      <w:r>
        <w:rPr>
          <w:sz w:val="24"/>
        </w:rPr>
        <w:t xml:space="preserve"> model was calculated using our England and Wales model.  We chose this model since its results may be disseminated without the restrictions that would otherwise be imposed by using proprietary data for any individual client.</w:t>
      </w:r>
    </w:p>
    <w:p>
      <w:pPr>
        <w:pStyle w:val="BodyText"/>
        <w:jc w:val="both"/>
        <w:rPr>
          <w:sz w:val="24"/>
        </w:rPr>
      </w:pPr>
      <w:r>
        <w:rPr>
          <w:sz w:val="24"/>
        </w:rPr>
      </w:r>
    </w:p>
    <w:p>
      <w:pPr>
        <w:pStyle w:val="BodyText"/>
        <w:jc w:val="both"/>
        <w:rPr/>
      </w:pPr>
      <w:r>
        <w:rPr/>
      </w:r>
    </w:p>
    <w:p>
      <w:pPr>
        <w:pStyle w:val="BodyText"/>
        <w:jc w:val="both"/>
        <w:rPr>
          <w:sz w:val="20"/>
          <w:lang w:val="en-CA"/>
        </w:rPr>
      </w:pPr>
      <w:r>
        <w:rPr>
          <w:sz w:val="20"/>
          <w:lang w:val="en-CA"/>
        </w:rPr>
        <mc:AlternateContent>
          <mc:Choice Requires="wps">
            <w:drawing>
              <wp:anchor behindDoc="0" distT="0" distB="0" distL="114935" distR="114935" simplePos="0" locked="0" layoutInCell="1" allowOverlap="1" relativeHeight="3">
                <wp:simplePos x="0" y="0"/>
                <wp:positionH relativeFrom="column">
                  <wp:posOffset>-291465</wp:posOffset>
                </wp:positionH>
                <wp:positionV relativeFrom="paragraph">
                  <wp:posOffset>147320</wp:posOffset>
                </wp:positionV>
                <wp:extent cx="6057900" cy="0"/>
                <wp:effectExtent l="0" t="5080" r="0" b="5080"/>
                <wp:wrapNone/>
                <wp:docPr id="2" nam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95pt,11.6pt" to="454pt,11.6pt" stroked="t" o:allowincell="f" style="position:absolute">
                <v:stroke color="black" weight="9360" joinstyle="miter" endcap="flat"/>
                <v:fill o:detectmouseclick="t" on="false"/>
                <w10:wrap type="none"/>
              </v:line>
            </w:pict>
          </mc:Fallback>
        </mc:AlternateContent>
      </w:r>
    </w:p>
    <w:p>
      <w:pPr>
        <w:pStyle w:val="BodyText"/>
        <w:jc w:val="center"/>
        <w:rPr>
          <w:sz w:val="20"/>
        </w:rPr>
      </w:pPr>
      <w:r>
        <w:rPr>
          <w:sz w:val="20"/>
        </w:rPr>
        <w:t>TESLA, Inc.   6417 Loisdale Road, Suite 200   Springfield, VA  22150  USA   (703) 971-5062</w:t>
      </w:r>
    </w:p>
    <w:p>
      <w:pPr>
        <w:pStyle w:val="BodyText"/>
        <w:jc w:val="center"/>
        <w:rPr/>
      </w:pPr>
      <w:hyperlink r:id="rId2">
        <w:r>
          <w:rPr>
            <w:rStyle w:val="Hyperlink"/>
            <w:color w:val="auto"/>
            <w:sz w:val="20"/>
          </w:rPr>
          <w:t>info@teslaforecast.com</w:t>
        </w:r>
      </w:hyperlink>
      <w:r>
        <w:rPr>
          <w:sz w:val="20"/>
        </w:rPr>
        <w:t xml:space="preserve">      </w:t>
        <w:tab/>
      </w:r>
      <w:hyperlink r:id="rId3">
        <w:r>
          <w:rPr>
            <w:rStyle w:val="Hyperlink"/>
            <w:color w:val="auto"/>
            <w:sz w:val="20"/>
          </w:rPr>
          <w:t>www.teslaforecast.com</w:t>
        </w:r>
      </w:hyperlink>
    </w:p>
    <w:sectPr>
      <w:footerReference w:type="default" r:id="rId4"/>
      <w:type w:val="nextPage"/>
      <w:pgSz w:w="12240" w:h="15840"/>
      <w:pgMar w:left="1800" w:right="1800" w:gutter="0" w:header="0" w:top="115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Rev. 03/01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end"/>
      <w:outlineLvl w:val="1"/>
    </w:pPr>
    <w:rPr>
      <w:i/>
      <w:iCs/>
      <w:sz w:val="28"/>
    </w:rPr>
  </w:style>
  <w:style w:type="paragraph" w:styleId="Heading3">
    <w:name w:val="heading 3"/>
    <w:basedOn w:val="Normal"/>
    <w:next w:val="Normal"/>
    <w:qFormat/>
    <w:pPr>
      <w:keepNext w:val="true"/>
      <w:numPr>
        <w:ilvl w:val="2"/>
        <w:numId w:val="1"/>
      </w:numPr>
      <w:ind w:firstLine="720" w:start="1440" w:end="0"/>
      <w:outlineLvl w:val="2"/>
    </w:pPr>
    <w:rPr>
      <w:b/>
      <w:bCs/>
      <w:sz w:val="24"/>
    </w:rPr>
  </w:style>
  <w:style w:type="paragraph" w:styleId="Heading4">
    <w:name w:val="heading 4"/>
    <w:basedOn w:val="Normal"/>
    <w:next w:val="Normal"/>
    <w:qFormat/>
    <w:pPr>
      <w:keepNext w:val="true"/>
      <w:numPr>
        <w:ilvl w:val="3"/>
        <w:numId w:val="1"/>
      </w:numPr>
      <w:jc w:val="center"/>
      <w:outlineLvl w:val="3"/>
    </w:pPr>
    <w:rPr>
      <w:b/>
      <w:bCs/>
      <w:i/>
      <w:iCs/>
      <w:sz w:val="28"/>
    </w:rPr>
  </w:style>
  <w:style w:type="paragraph" w:styleId="Heading5">
    <w:name w:val="heading 5"/>
    <w:basedOn w:val="Normal"/>
    <w:next w:val="Normal"/>
    <w:qFormat/>
    <w:pPr>
      <w:keepNext w:val="true"/>
      <w:numPr>
        <w:ilvl w:val="4"/>
        <w:numId w:val="1"/>
      </w:numPr>
      <w:jc w:val="center"/>
      <w:outlineLvl w:val="4"/>
    </w:pPr>
    <w:rPr>
      <w:sz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BodyText3">
    <w:name w:val="Body Text 3"/>
    <w:basedOn w:val="Normal"/>
    <w:qFormat/>
    <w:pPr>
      <w:jc w:val="both"/>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teslaforecasts.com" TargetMode="External"/><Relationship Id="rId3" Type="http://schemas.openxmlformats.org/officeDocument/2006/relationships/hyperlink" Target="http://www.teslaforecasts.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2001-05-18T15:32:00Z</dcterms:created>
  <dc:creator>John Sneed</dc:creator>
  <dc:description/>
  <dc:language>en-CA</dc:language>
  <cp:lastModifiedBy>Jim Streets</cp:lastModifiedBy>
  <cp:lastPrinted>2001-03-08T11:00:00Z</cp:lastPrinted>
  <dcterms:modified xsi:type="dcterms:W3CDTF">2001-05-18T15:32:00Z</dcterms:modified>
  <cp:revision>2</cp:revision>
  <dc:subject/>
  <dc:title>THE TESLA™ OUTAGES MODEL</dc:title>
</cp:coreProperties>
</file>