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Statement from Enron in reaction to UC/CSU allegations:</w:t>
      </w:r>
    </w:p>
    <w:p>
      <w:pPr>
        <w:pStyle w:val="Normal"/>
        <w:rPr/>
      </w:pPr>
      <w:r>
        <w:rPr/>
      </w:r>
    </w:p>
    <w:p>
      <w:pPr>
        <w:pStyle w:val="Normal"/>
        <w:rPr/>
      </w:pPr>
      <w:r>
        <w:rPr/>
        <w:t>Here are the facts:</w:t>
      </w:r>
    </w:p>
    <w:p>
      <w:pPr>
        <w:pStyle w:val="Normal"/>
        <w:numPr>
          <w:ilvl w:val="0"/>
          <w:numId w:val="0"/>
        </w:numPr>
        <w:ind w:hanging="0" w:start="0"/>
        <w:rPr/>
      </w:pPr>
      <w:r>
        <w:rPr/>
      </w:r>
    </w:p>
    <w:p>
      <w:pPr>
        <w:pStyle w:val="Normal"/>
        <w:numPr>
          <w:ilvl w:val="0"/>
          <w:numId w:val="1"/>
        </w:numPr>
        <w:rPr/>
      </w:pPr>
      <w:r>
        <w:rPr/>
        <w:t>Enron continues to honor the financial and other terms of its agreement with UC/CSU.  We have offered to continue to provide all campuses with the metering and billing and related services under the agreement.</w:t>
      </w:r>
    </w:p>
    <w:p>
      <w:pPr>
        <w:pStyle w:val="Normal"/>
        <w:rPr/>
      </w:pPr>
      <w:r>
        <w:rPr/>
      </w:r>
    </w:p>
    <w:p>
      <w:pPr>
        <w:pStyle w:val="Normal"/>
        <w:numPr>
          <w:ilvl w:val="0"/>
          <w:numId w:val="1"/>
        </w:numPr>
        <w:rPr/>
      </w:pPr>
      <w:r>
        <w:rPr/>
        <w:t xml:space="preserve">Enron is not seeing any windfall gain from its action.  Our hedging strategy was based on following the rules explicitly laid out in AB 1890.  During the AB 1890 transition period, we followed the rules and paid a subsidy to the utilities when bundled energy prices were lower than the frozen tariff.  When market prices increased earlier this year, the utilities broke the rules of AB 1890 by refusing to honor their obligation to deliver a generation credit to us.  EES purchased power at market prices and relied on the utilities to perform their financial obligations.  </w:t>
      </w:r>
    </w:p>
    <w:p>
      <w:pPr>
        <w:pStyle w:val="Normal"/>
        <w:rPr/>
      </w:pPr>
      <w:r>
        <w:rPr/>
      </w:r>
    </w:p>
    <w:p>
      <w:pPr>
        <w:pStyle w:val="Normal"/>
        <w:numPr>
          <w:ilvl w:val="0"/>
          <w:numId w:val="1"/>
        </w:numPr>
        <w:rPr/>
      </w:pPr>
      <w:r>
        <w:rPr/>
        <w:t>Enron does not have and is therefore not reselling power previously purchased to serve UC/CSU.</w:t>
      </w:r>
    </w:p>
    <w:p>
      <w:pPr>
        <w:pStyle w:val="Normal"/>
        <w:rPr/>
      </w:pPr>
      <w:r>
        <w:rPr/>
      </w:r>
    </w:p>
    <w:p>
      <w:pPr>
        <w:pStyle w:val="Normal"/>
        <w:numPr>
          <w:ilvl w:val="0"/>
          <w:numId w:val="1"/>
        </w:numPr>
        <w:rPr/>
      </w:pPr>
      <w:r>
        <w:rPr/>
        <w:t xml:space="preserve">We share UC/CSU’s goal of continued direct access availability in the state of California.  In fact, we have been working with UC/CSU to retain direct access as an option for all California consumers.  If recent legislation (AB1X) had not created the risk of suspension of direct access we would not have a dispute.  The current issue would be more easily resolved if the state legislature would clearly reinstate direct access in California.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2001-03-13T12:37:00Z</dcterms:created>
  <dc:creator>ehinojos</dc:creator>
  <dc:description/>
  <dc:language>en-CA</dc:language>
  <cp:lastModifiedBy>pmahoney</cp:lastModifiedBy>
  <cp:lastPrinted>2001-03-12T18:34:00Z</cp:lastPrinted>
  <dcterms:modified xsi:type="dcterms:W3CDTF">2001-03-13T12:37:00Z</dcterms:modified>
  <cp:revision>2</cp:revision>
  <dc:subject/>
  <dc:title>Only Choice</dc:title>
</cp:coreProperties>
</file>