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4320" w:end="0"/>
        <w:jc w:val="end"/>
        <w:rPr>
          <w:b/>
        </w:rPr>
      </w:pPr>
      <w:r>
        <w:rPr>
          <w:b/>
        </w:rPr>
        <w:t>A&amp;K Draft 8/31/00</w:t>
      </w:r>
    </w:p>
    <w:p>
      <w:pPr>
        <w:pStyle w:val="Normal"/>
        <w:ind w:firstLine="720" w:start="4320" w:end="0"/>
        <w:jc w:val="end"/>
        <w:rPr>
          <w:b/>
        </w:rPr>
      </w:pPr>
      <w:r>
        <w:rPr>
          <w:b/>
        </w:rPr>
        <w:tab/>
        <w:tab/>
        <w:t>Texas Secretary of State</w:t>
      </w:r>
    </w:p>
    <w:p>
      <w:pPr>
        <w:pStyle w:val="Normal"/>
        <w:ind w:firstLine="720" w:start="4320" w:end="0"/>
        <w:jc w:val="end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  <w:t>FORM UCC-1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>
          <w:b/>
        </w:rPr>
      </w:pPr>
      <w:r>
        <w:rPr>
          <w:b/>
        </w:rPr>
        <w:tab/>
        <w:t>NON-CONFORMING FINANCING STATEMENT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firstLine="1440" w:end="0"/>
        <w:jc w:val="both"/>
        <w:rPr/>
      </w:pPr>
      <w:r>
        <w:rPr/>
        <w:t>This Financing Statement is presented to a Filing Officer for filing pursuant to the Uniform Commercial Code.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720" w:end="0"/>
        <w:jc w:val="both"/>
        <w:rPr/>
      </w:pPr>
      <w:r>
        <w:rPr/>
        <w:t>1.</w:t>
        <w:tab/>
        <w:t>The name and address of the Debtor is:</w:t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/>
      </w:pPr>
      <w:r>
        <w:rPr/>
        <w:tab/>
        <w:tab/>
        <w:tab/>
      </w:r>
    </w:p>
    <w:p>
      <w:pPr>
        <w:pStyle w:val="Normal"/>
        <w:widowControl/>
        <w:ind w:firstLine="1440" w:end="0"/>
        <w:jc w:val="both"/>
        <w:rPr>
          <w:b/>
        </w:rPr>
      </w:pPr>
      <w:r>
        <w:rPr>
          <w:b/>
        </w:rPr>
        <w:t>Lost Creek Gathering Company, L.L.C.</w:t>
      </w:r>
    </w:p>
    <w:p>
      <w:pPr>
        <w:pStyle w:val="Normal"/>
        <w:widowControl/>
        <w:ind w:firstLine="1440" w:end="0"/>
        <w:jc w:val="both"/>
        <w:rPr>
          <w:b/>
        </w:rPr>
      </w:pPr>
      <w:r>
        <w:rPr>
          <w:b/>
        </w:rPr>
        <w:t>c/o Burlington Resources Trading Inc.</w:t>
      </w:r>
    </w:p>
    <w:p>
      <w:pPr>
        <w:pStyle w:val="Normal"/>
        <w:widowControl/>
        <w:ind w:firstLine="1440" w:end="0"/>
        <w:jc w:val="both"/>
        <w:rPr>
          <w:b/>
        </w:rPr>
      </w:pPr>
      <w:r>
        <w:rPr>
          <w:b/>
        </w:rPr>
        <w:t>5051 Westheimer, Suite 1400</w:t>
      </w:r>
    </w:p>
    <w:p>
      <w:pPr>
        <w:pStyle w:val="Normal"/>
        <w:widowControl/>
        <w:ind w:firstLine="1440" w:end="0"/>
        <w:jc w:val="both"/>
        <w:rPr>
          <w:b/>
        </w:rPr>
      </w:pPr>
      <w:r>
        <w:rPr>
          <w:b/>
        </w:rPr>
        <w:t>Houston, Texas  77095</w:t>
        <w:tab/>
        <w:tab/>
        <w:tab/>
      </w:r>
    </w:p>
    <w:p>
      <w:pPr>
        <w:pStyle w:val="Normal"/>
        <w:widowControl/>
        <w:tabs>
          <w:tab w:val="clear" w:pos="720"/>
          <w:tab w:val="left" w:pos="-144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start="720" w:end="0"/>
        <w:jc w:val="both"/>
        <w:rPr/>
      </w:pPr>
      <w:r>
        <w:rPr/>
        <w:t>2.</w:t>
        <w:tab/>
        <w:t>The name and address of the Secured Party is: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start="720" w:end="0"/>
        <w:jc w:val="both"/>
        <w:rPr>
          <w:b/>
        </w:rPr>
      </w:pPr>
      <w:r>
        <w:rPr>
          <w:b/>
        </w:rPr>
        <w:t>Barclays Bank PLC, as Administrative Agent</w:t>
      </w:r>
    </w:p>
    <w:p>
      <w:pPr>
        <w:pStyle w:val="Normal"/>
        <w:widowControl/>
        <w:ind w:firstLine="720" w:start="720" w:end="0"/>
        <w:jc w:val="both"/>
        <w:rPr>
          <w:b/>
        </w:rPr>
      </w:pPr>
      <w:r>
        <w:rPr>
          <w:b/>
        </w:rPr>
        <w:t>222 Broadway</w:t>
      </w:r>
    </w:p>
    <w:p>
      <w:pPr>
        <w:pStyle w:val="Normal"/>
        <w:widowControl/>
        <w:ind w:firstLine="720" w:start="720" w:end="0"/>
        <w:jc w:val="both"/>
        <w:rPr>
          <w:b/>
        </w:rPr>
      </w:pPr>
      <w:r>
        <w:rPr>
          <w:b/>
        </w:rPr>
        <w:t>New York, New York  10038</w:t>
      </w:r>
    </w:p>
    <w:p>
      <w:pPr>
        <w:pStyle w:val="Normal"/>
        <w:widowControl/>
        <w:ind w:firstLine="3600" w:start="7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firstLine="720" w:end="0"/>
        <w:jc w:val="both"/>
        <w:rPr/>
      </w:pPr>
      <w:r>
        <w:rPr/>
        <w:t>3.</w:t>
        <w:tab/>
        <w:t>This Financing Statement covers the items or types of collateral described on</w:t>
      </w:r>
    </w:p>
    <w:p>
      <w:pPr>
        <w:pStyle w:val="Normal"/>
        <w:widowControl/>
        <w:ind w:firstLine="1440" w:end="0"/>
        <w:jc w:val="both"/>
        <w:rPr/>
      </w:pPr>
      <w:r>
        <w:rPr>
          <w:b/>
          <w:u w:val="single"/>
        </w:rPr>
        <w:t>Exhibit A</w:t>
      </w:r>
      <w:r>
        <w:rPr>
          <w:b/>
        </w:rPr>
        <w:t xml:space="preserve"> </w:t>
      </w:r>
      <w:r>
        <w:rPr/>
        <w:t xml:space="preserve">attached hereto and incorporated herein for all purposes. </w:t>
      </w:r>
    </w:p>
    <w:p>
      <w:pPr>
        <w:pStyle w:val="Normal"/>
        <w:widowControl/>
        <w:ind w:firstLine="2160" w:end="0"/>
        <w:jc w:val="both"/>
        <w:rPr/>
      </w:pPr>
      <w:r>
        <w:rPr/>
      </w:r>
    </w:p>
    <w:p>
      <w:pPr>
        <w:pStyle w:val="Normal"/>
        <w:widowControl/>
        <w:ind w:firstLine="504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firstLine="4320" w:end="0"/>
        <w:jc w:val="both"/>
        <w:rPr>
          <w:b/>
        </w:rPr>
      </w:pPr>
      <w:r>
        <w:rPr>
          <w:b/>
        </w:rPr>
        <w:t>DEBTOR:</w:t>
      </w:r>
    </w:p>
    <w:p>
      <w:pPr>
        <w:pStyle w:val="Normal"/>
        <w:widowControl/>
        <w:ind w:firstLine="504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firstLine="4320" w:end="-270"/>
        <w:jc w:val="both"/>
        <w:rPr>
          <w:b/>
        </w:rPr>
      </w:pPr>
      <w:bookmarkStart w:id="0" w:name="QuickMark"/>
      <w:bookmarkEnd w:id="0"/>
      <w:r>
        <w:rPr>
          <w:b/>
        </w:rPr>
        <w:t>LOST CREEK GATHERING COMPANY, L.L.C.,</w:t>
      </w:r>
    </w:p>
    <w:p>
      <w:pPr>
        <w:pStyle w:val="Normal"/>
        <w:widowControl/>
        <w:ind w:firstLine="4320" w:end="0"/>
        <w:jc w:val="both"/>
        <w:rPr/>
      </w:pPr>
      <w:r>
        <w:rPr/>
        <w:t>a Delaware limited liability company</w:t>
      </w:r>
    </w:p>
    <w:p>
      <w:pPr>
        <w:pStyle w:val="Normal"/>
        <w:widowControl/>
        <w:ind w:firstLine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ind w:firstLine="4320" w:end="0"/>
        <w:jc w:val="both"/>
        <w:rPr/>
      </w:pPr>
      <w:r>
        <w:rPr/>
        <w:t>By:</w:t>
        <w:tab/>
      </w:r>
      <w:r>
        <w:rPr>
          <w:b/>
        </w:rPr>
        <w:t>Burlington Resources Trading Inc.</w:t>
      </w:r>
      <w:r>
        <w:rPr/>
        <w:t xml:space="preserve">, a </w:t>
        <w:tab/>
        <w:tab/>
        <w:tab/>
        <w:tab/>
        <w:tab/>
        <w:tab/>
        <w:tab/>
        <w:tab/>
        <w:t>Delaware corporation, its Managing Member</w:t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5040" w:leader="none"/>
          <w:tab w:val="left" w:pos="5760" w:leader="none"/>
          <w:tab w:val="right" w:pos="9360" w:leader="none"/>
        </w:tabs>
        <w:ind w:firstLine="5040" w:end="0"/>
        <w:jc w:val="both"/>
        <w:rPr/>
      </w:pPr>
      <w:r>
        <w:rPr/>
        <w:t>By:</w:t>
        <w:tab/>
      </w:r>
      <w:r>
        <w:rPr>
          <w:u w:val="single"/>
        </w:rPr>
        <w:tab/>
      </w:r>
    </w:p>
    <w:p>
      <w:pPr>
        <w:pStyle w:val="Normal"/>
        <w:ind w:firstLine="2880" w:start="2160" w:end="0"/>
        <w:rPr/>
      </w:pPr>
      <w:r>
        <w:rPr/>
        <w:t>Name:</w:t>
        <w:tab/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2880" w:start="2160" w:end="0"/>
        <w:rPr/>
      </w:pPr>
      <w:r>
        <w:rPr/>
        <w:t>Title:</w:t>
        <w:tab/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2880" w:start="2160" w:end="0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rPr>
          <w:sz w:val="20"/>
        </w:rPr>
      </w:pPr>
      <w:r>
        <w:rPr>
          <w:sz w:val="20"/>
        </w:rPr>
        <w:t>After recording, please return to:</w:t>
      </w:r>
    </w:p>
    <w:p>
      <w:pPr>
        <w:pStyle w:val="Normal"/>
        <w:rPr>
          <w:sz w:val="20"/>
        </w:rPr>
      </w:pPr>
      <w:r>
        <w:rPr>
          <w:sz w:val="20"/>
        </w:rPr>
        <w:t>Sean Bunk, Esq.</w:t>
      </w:r>
    </w:p>
    <w:p>
      <w:pPr>
        <w:pStyle w:val="Normal"/>
        <w:rPr>
          <w:sz w:val="20"/>
        </w:rPr>
      </w:pPr>
      <w:r>
        <w:rPr>
          <w:sz w:val="20"/>
        </w:rPr>
        <w:t>Andrews &amp; Kurth L.L.P.</w:t>
      </w:r>
    </w:p>
    <w:p>
      <w:pPr>
        <w:pStyle w:val="Normal"/>
        <w:rPr>
          <w:sz w:val="20"/>
        </w:rPr>
      </w:pPr>
      <w:r>
        <w:rPr>
          <w:sz w:val="20"/>
        </w:rPr>
        <w:t>600 Travis, Suite 4200</w:t>
      </w:r>
    </w:p>
    <w:p>
      <w:pPr>
        <w:pStyle w:val="Normal"/>
        <w:rPr>
          <w:sz w:val="20"/>
        </w:rPr>
      </w:pPr>
      <w:r>
        <w:rPr>
          <w:sz w:val="20"/>
        </w:rPr>
        <w:t>Houston, Texas  77002</w:t>
      </w:r>
    </w:p>
    <w:sectPr>
      <w:footerReference w:type="default" r:id="rId2"/>
      <w:type w:val="nextPage"/>
      <w:pgSz w:w="12240" w:h="15840"/>
      <w:pgMar w:left="1440" w:right="1440" w:gutter="0" w:header="0" w:top="1440" w:footer="936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572560-1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end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1440" w:start="2160" w:end="0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end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2000-09-05T11:56:00Z</dcterms:created>
  <dc:creator>A&amp;K</dc:creator>
  <dc:description/>
  <dc:language>en-CA</dc:language>
  <cp:lastModifiedBy>A&amp;K</cp:lastModifiedBy>
  <cp:lastPrinted>2000-08-30T15:13:00Z</cp:lastPrinted>
  <dcterms:modified xsi:type="dcterms:W3CDTF">2000-09-05T11:56:00Z</dcterms:modified>
  <cp:revision>2</cp:revision>
  <dc:subject/>
  <dc:title>Delaware/Texas</dc:title>
</cp:coreProperties>
</file>