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wmf" ContentType="image/x-wmf"/>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EWDefault"/>
        <w:jc w:val="both"/>
        <w:rPr>
          <w:b/>
          <w:sz w:val="20"/>
          <w:u w:val="single"/>
        </w:rPr>
      </w:pPr>
      <w:r>
        <w:rPr>
          <w:b/>
          <w:sz w:val="20"/>
          <w:u w:val="single"/>
        </w:rPr>
        <w:t>DEAL DETAILS</w:t>
      </w:r>
    </w:p>
    <w:p>
      <w:pPr>
        <w:pStyle w:val="EWDefault"/>
        <w:jc w:val="both"/>
        <w:rPr>
          <w:sz w:val="20"/>
        </w:rPr>
      </w:pPr>
      <w:r>
        <w:rPr>
          <w:sz w:val="20"/>
        </w:rPr>
        <w:t>CSR Limited, an Australian building-materials company, is selling its 145-year-old sugar business, comprising of seven sugar mills in Queensland, Australia and 50% ownership in distilleries in Australia and New Zealand Sugar.   These assets have a total output of 2.2 million metric tons of the state’s 4.9 million-ton total. (approximately one third of Australia’s production).</w:t>
      </w:r>
    </w:p>
    <w:p>
      <w:pPr>
        <w:pStyle w:val="EWDefault"/>
        <w:jc w:val="both"/>
        <w:rPr>
          <w:sz w:val="20"/>
        </w:rPr>
      </w:pPr>
      <w:r>
        <w:rPr>
          <w:sz w:val="20"/>
        </w:rPr>
        <w:t xml:space="preserve">The asking price is around A$1.0-A$1.4 billion. </w:t>
      </w:r>
    </w:p>
    <w:p>
      <w:pPr>
        <w:pStyle w:val="EWDefault"/>
        <w:jc w:val="both"/>
        <w:rPr>
          <w:sz w:val="20"/>
        </w:rPr>
      </w:pPr>
      <w:r>
        <w:rPr>
          <w:sz w:val="20"/>
        </w:rPr>
      </w:r>
    </w:p>
    <w:p>
      <w:pPr>
        <w:pStyle w:val="EWDefault"/>
        <w:jc w:val="both"/>
        <w:rPr>
          <w:sz w:val="20"/>
        </w:rPr>
      </w:pPr>
      <w:r>
        <w:rPr>
          <w:sz w:val="20"/>
        </w:rPr>
        <w:t xml:space="preserve">According to Chris MacKenzie of UBS Warburg, three bidders made the short list.  Warburg’s customer made the shortlist but did not win the final bid. The company with the winning bid is only interested in the distilleries and so we believe that they have teamed up with Warburg’s customer, who wants the refinery assets, to revise the bid. </w:t>
      </w:r>
    </w:p>
    <w:p>
      <w:pPr>
        <w:pStyle w:val="EWDefault"/>
        <w:jc w:val="both"/>
        <w:rPr>
          <w:sz w:val="20"/>
        </w:rPr>
      </w:pPr>
      <w:r>
        <w:rPr>
          <w:sz w:val="20"/>
        </w:rPr>
      </w:r>
    </w:p>
    <w:p>
      <w:pPr>
        <w:pStyle w:val="EWDefault"/>
        <w:jc w:val="both"/>
        <w:rPr>
          <w:sz w:val="20"/>
          <w:u w:val="single"/>
        </w:rPr>
      </w:pPr>
      <w:r>
        <w:rPr>
          <w:b/>
          <w:sz w:val="20"/>
          <w:u w:val="single"/>
        </w:rPr>
        <w:t>ORIGINAL SHORTLIST</w:t>
      </w:r>
    </w:p>
    <w:p>
      <w:pPr>
        <w:pStyle w:val="EWDefault"/>
        <w:numPr>
          <w:ilvl w:val="0"/>
          <w:numId w:val="5"/>
        </w:numPr>
        <w:jc w:val="both"/>
        <w:rPr>
          <w:sz w:val="20"/>
        </w:rPr>
      </w:pPr>
      <w:r>
        <w:rPr>
          <w:sz w:val="20"/>
          <w:u w:val="single"/>
        </w:rPr>
        <w:t>Mackay Sugar</w:t>
      </w:r>
      <w:r>
        <w:rPr>
          <w:sz w:val="20"/>
        </w:rPr>
        <w:t xml:space="preserve"> – Mackay is a cooperative that operates four mills in the Mackay area of Queensland.  It has been linked with Taiwan Sugar.</w:t>
      </w:r>
    </w:p>
    <w:p>
      <w:pPr>
        <w:pStyle w:val="EWDefault"/>
        <w:numPr>
          <w:ilvl w:val="0"/>
          <w:numId w:val="2"/>
        </w:numPr>
        <w:jc w:val="both"/>
        <w:rPr>
          <w:sz w:val="20"/>
        </w:rPr>
      </w:pPr>
      <w:r>
        <w:rPr>
          <w:sz w:val="20"/>
          <w:u w:val="single"/>
        </w:rPr>
        <w:t>Canegrowers/Theiss</w:t>
      </w:r>
      <w:r>
        <w:rPr>
          <w:sz w:val="20"/>
        </w:rPr>
        <w:t xml:space="preserve"> – Canegrowers is an Australian sugar farmers lobbying group.  The group teamed with Theiss, a subsidiary of the construction company Leighton.  Theiss is probably the operating partner; it has experience in operating another Australian mill.  Macquarie Bank’s Peter Annand acted as an advisor.</w:t>
      </w:r>
    </w:p>
    <w:p>
      <w:pPr>
        <w:pStyle w:val="EWDefault"/>
        <w:numPr>
          <w:ilvl w:val="0"/>
          <w:numId w:val="4"/>
        </w:numPr>
        <w:jc w:val="both"/>
        <w:rPr>
          <w:sz w:val="20"/>
        </w:rPr>
      </w:pPr>
      <w:r>
        <w:rPr>
          <w:sz w:val="20"/>
          <w:u w:val="single"/>
        </w:rPr>
        <w:t>San Miguel</w:t>
      </w:r>
      <w:r>
        <w:rPr>
          <w:sz w:val="20"/>
        </w:rPr>
        <w:t xml:space="preserve"> – A Philippine company manufacturing beer, wine, spirits, and other food and drink.</w:t>
      </w:r>
    </w:p>
    <w:p>
      <w:pPr>
        <w:pStyle w:val="EWDefault"/>
        <w:jc w:val="both"/>
        <w:rPr>
          <w:sz w:val="20"/>
        </w:rPr>
      </w:pPr>
      <w:r>
        <w:rPr>
          <w:sz w:val="20"/>
        </w:rPr>
      </w:r>
    </w:p>
    <w:p>
      <w:pPr>
        <w:pStyle w:val="EWDefault"/>
        <w:jc w:val="both"/>
        <w:rPr>
          <w:i/>
          <w:i/>
          <w:sz w:val="20"/>
        </w:rPr>
      </w:pPr>
      <w:r>
        <w:rPr>
          <w:i/>
          <w:sz w:val="20"/>
        </w:rPr>
        <w:t>UBS Warburg confirms San Miguel has won the bid and we think UBS is acting for Mackay.  Macquarie is acting for the Canegrowers /Thesis.</w:t>
      </w:r>
    </w:p>
    <w:p>
      <w:pPr>
        <w:pStyle w:val="EWDefault"/>
        <w:jc w:val="both"/>
        <w:rPr>
          <w:i/>
          <w:i/>
          <w:sz w:val="20"/>
        </w:rPr>
      </w:pPr>
      <w:r>
        <w:rPr>
          <w:i/>
          <w:sz w:val="20"/>
        </w:rPr>
      </w:r>
    </w:p>
    <w:p>
      <w:pPr>
        <w:pStyle w:val="EWDefault"/>
        <w:jc w:val="both"/>
        <w:rPr>
          <w:b/>
          <w:sz w:val="20"/>
        </w:rPr>
      </w:pPr>
      <w:r>
        <w:rPr>
          <w:b/>
          <w:sz w:val="20"/>
          <w:u w:val="single"/>
        </w:rPr>
        <w:t>UBS STRUCTURE</w:t>
      </w:r>
    </w:p>
    <w:p>
      <w:pPr>
        <w:pStyle w:val="EWDefault"/>
        <w:numPr>
          <w:ilvl w:val="0"/>
          <w:numId w:val="3"/>
        </w:numPr>
        <w:jc w:val="both"/>
        <w:rPr>
          <w:sz w:val="20"/>
        </w:rPr>
      </w:pPr>
      <w:r>
        <w:rPr>
          <w:sz w:val="20"/>
        </w:rPr>
        <w:t>3 year strip of ATM puts</w:t>
      </w:r>
    </w:p>
    <w:p>
      <w:pPr>
        <w:pStyle w:val="EWDefault"/>
        <w:numPr>
          <w:ilvl w:val="0"/>
          <w:numId w:val="3"/>
        </w:numPr>
        <w:jc w:val="both"/>
        <w:rPr>
          <w:sz w:val="20"/>
        </w:rPr>
      </w:pPr>
      <w:r>
        <w:rPr>
          <w:sz w:val="20"/>
        </w:rPr>
        <w:t>3 year strip of OTM puts</w:t>
      </w:r>
    </w:p>
    <w:p>
      <w:pPr>
        <w:pStyle w:val="EWDefault"/>
        <w:numPr>
          <w:ilvl w:val="0"/>
          <w:numId w:val="3"/>
        </w:numPr>
        <w:jc w:val="both"/>
        <w:rPr>
          <w:sz w:val="20"/>
        </w:rPr>
      </w:pPr>
      <w:r>
        <w:rPr>
          <w:sz w:val="20"/>
        </w:rPr>
        <w:t>3 year strip: Collar</w:t>
      </w:r>
    </w:p>
    <w:p>
      <w:pPr>
        <w:pStyle w:val="EWDefault"/>
        <w:jc w:val="both"/>
        <w:rPr>
          <w:sz w:val="20"/>
        </w:rPr>
      </w:pPr>
      <w:r>
        <w:rPr>
          <w:sz w:val="20"/>
        </w:rPr>
      </w:r>
    </w:p>
    <w:p>
      <w:pPr>
        <w:pStyle w:val="EWDefault"/>
        <w:jc w:val="both"/>
        <w:rPr>
          <w:sz w:val="20"/>
        </w:rPr>
      </w:pPr>
      <w:r>
        <w:rPr>
          <w:sz w:val="20"/>
        </w:rPr>
        <w:t>The actual financing is $75 million per year, which is approximately 30,000 contracts.  We have quoted only on 10,000 contracts; however, UBS indicates they would like the largest volume possible.  UBS is talking to nobody else in the market for its hedge.</w:t>
      </w:r>
    </w:p>
    <w:p>
      <w:pPr>
        <w:pStyle w:val="EWDefault"/>
        <w:jc w:val="both"/>
        <w:rPr>
          <w:sz w:val="20"/>
        </w:rPr>
      </w:pPr>
      <w:r>
        <w:rPr>
          <w:sz w:val="20"/>
        </w:rPr>
      </w:r>
    </w:p>
    <w:p>
      <w:pPr>
        <w:pStyle w:val="EWDefault"/>
        <w:jc w:val="both"/>
        <w:rPr>
          <w:b/>
          <w:sz w:val="20"/>
          <w:u w:val="single"/>
        </w:rPr>
      </w:pPr>
      <w:r>
        <w:rPr>
          <w:b/>
          <w:sz w:val="20"/>
          <w:u w:val="single"/>
        </w:rPr>
        <w:t>QUESTIONS</w:t>
      </w:r>
    </w:p>
    <w:p>
      <w:pPr>
        <w:pStyle w:val="EWDefault"/>
        <w:jc w:val="both"/>
        <w:rPr>
          <w:sz w:val="20"/>
        </w:rPr>
      </w:pPr>
      <w:r>
        <w:rPr>
          <w:sz w:val="20"/>
        </w:rPr>
        <w:t>We can get a back-to-back quote from MacQuarie for 10,000 contracts.  Does Enron want to think about offering to do the rest of the volume?  The trade volume represents approximately 20% of total open interest.  The market is also very short and this would establish a long-dated position for Enron.</w:t>
      </w:r>
    </w:p>
    <w:p>
      <w:pPr>
        <w:pStyle w:val="EWDefault"/>
        <w:jc w:val="both"/>
        <w:rPr>
          <w:sz w:val="20"/>
        </w:rPr>
      </w:pPr>
      <w:r>
        <w:rPr>
          <w:sz w:val="20"/>
        </w:rPr>
      </w:r>
    </w:p>
    <w:p>
      <w:pPr>
        <w:pStyle w:val="EWDefault"/>
        <w:jc w:val="both"/>
        <w:rPr>
          <w:sz w:val="20"/>
        </w:rPr>
      </w:pPr>
      <w:r>
        <w:rPr>
          <w:sz w:val="20"/>
        </w:rPr>
        <w:t>Hedging Strategies: Offer 10,000 back-to-back deal and then offer another 20,000 as a collar and then delta hedge?</w:t>
      </w:r>
    </w:p>
    <w:p>
      <w:pPr>
        <w:pStyle w:val="EWDefault"/>
        <w:jc w:val="both"/>
        <w:rPr>
          <w:b/>
          <w:sz w:val="20"/>
        </w:rPr>
      </w:pPr>
      <w:r>
        <w:rPr>
          <w:b/>
          <w:sz w:val="20"/>
        </w:rPr>
      </w:r>
    </w:p>
    <w:p>
      <w:pPr>
        <w:pStyle w:val="EWDefault"/>
        <w:jc w:val="both"/>
        <w:rPr>
          <w:b/>
          <w:sz w:val="20"/>
        </w:rPr>
      </w:pPr>
      <w:r>
        <w:rPr>
          <w:b/>
          <w:sz w:val="20"/>
        </w:rPr>
        <w:t xml:space="preserve">The full deal, laying off 10,000 contracts to Macquarie, leaves Enron long 20,000 puts or long sugar.  </w:t>
      </w:r>
    </w:p>
    <w:p>
      <w:pPr>
        <w:pStyle w:val="EWDefault"/>
        <w:jc w:val="both"/>
        <w:rPr>
          <w:b/>
          <w:sz w:val="20"/>
          <w:u w:val="single"/>
        </w:rPr>
      </w:pPr>
      <w:r>
        <w:rPr>
          <w:b/>
          <w:sz w:val="20"/>
          <w:u w:val="single"/>
        </w:rPr>
      </w:r>
    </w:p>
    <w:p>
      <w:pPr>
        <w:pStyle w:val="EWDefault"/>
        <w:jc w:val="both"/>
        <w:rPr>
          <w:sz w:val="20"/>
        </w:rPr>
      </w:pPr>
      <w:r>
        <w:rPr>
          <w:b/>
          <w:sz w:val="20"/>
          <w:u w:val="single"/>
        </w:rPr>
        <w:t>DELTA HEDGING</w:t>
      </w:r>
    </w:p>
    <w:p>
      <w:pPr>
        <w:pStyle w:val="EWDefault"/>
        <w:jc w:val="both"/>
        <w:rPr>
          <w:sz w:val="20"/>
        </w:rPr>
      </w:pPr>
      <w:r>
        <w:rPr>
          <w:sz w:val="20"/>
        </w:rPr>
        <w:t>If Enron delta hedges the 20,000 put position, Table 1 outlines the required offsetting position (selling sugar) in both NYBOT raw sugar contracts and volume.</w:t>
      </w:r>
    </w:p>
    <w:p>
      <w:pPr>
        <w:pStyle w:val="EWDefault"/>
        <w:jc w:val="both"/>
        <w:rPr>
          <w:sz w:val="20"/>
          <w:lang w:val="en-CA"/>
        </w:rPr>
      </w:pPr>
      <w:r>
        <w:rPr>
          <w:sz w:val="20"/>
          <w:lang w:val="en-CA"/>
        </w:rPr>
        <w:drawing>
          <wp:anchor behindDoc="0" distT="0" distB="0" distL="114935" distR="114935" simplePos="0" locked="0" layoutInCell="1" allowOverlap="1" relativeHeight="2">
            <wp:simplePos x="0" y="0"/>
            <wp:positionH relativeFrom="column">
              <wp:posOffset>443865</wp:posOffset>
            </wp:positionH>
            <wp:positionV relativeFrom="page">
              <wp:posOffset>6949440</wp:posOffset>
            </wp:positionV>
            <wp:extent cx="5969635" cy="2252345"/>
            <wp:effectExtent l="0" t="0" r="0" b="0"/>
            <wp:wrapNone/>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6" t="-16" r="-6" b="-16"/>
                    <a:stretch>
                      <a:fillRect/>
                    </a:stretch>
                  </pic:blipFill>
                  <pic:spPr bwMode="auto">
                    <a:xfrm>
                      <a:off x="0" y="0"/>
                      <a:ext cx="5969635" cy="2252345"/>
                    </a:xfrm>
                    <a:prstGeom prst="rect">
                      <a:avLst/>
                    </a:prstGeom>
                    <a:noFill/>
                  </pic:spPr>
                </pic:pic>
              </a:graphicData>
            </a:graphic>
          </wp:anchor>
        </w:drawing>
      </w:r>
    </w:p>
    <w:sectPr>
      <w:type w:val="nextPage"/>
      <w:pgSz w:w="12240" w:h="15840"/>
      <w:pgMar w:left="720" w:right="720" w:gutter="0" w:header="0" w:top="720" w:footer="0" w:bottom="72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ahoma">
    <w:charset w:val="00" w:characterSet="windows-1252"/>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Symbol" w:hAnsi="Symbol" w:cs="Symbol" w:hint="default"/>
        <w:color w:val="auto"/>
      </w:rPr>
    </w:lvl>
  </w:abstractNum>
  <w:abstractNum w:abstractNumId="3">
    <w:lvl w:ilvl="0">
      <w:start w:val="1"/>
      <w:numFmt w:val="decimal"/>
      <w:lvlText w:val="%1."/>
      <w:lvlJc w:val="start"/>
      <w:pPr>
        <w:tabs>
          <w:tab w:val="num" w:pos="360"/>
        </w:tabs>
        <w:ind w:start="360" w:hanging="360"/>
      </w:pPr>
    </w:lvl>
  </w:abstractNum>
  <w:abstractNum w:abstractNumId="4">
    <w:lvl w:ilvl="0">
      <w:start w:val="1"/>
      <w:numFmt w:val="bullet"/>
      <w:lvlText w:val=""/>
      <w:lvlJc w:val="start"/>
      <w:pPr>
        <w:tabs>
          <w:tab w:val="num" w:pos="360"/>
        </w:tabs>
        <w:ind w:start="360" w:hanging="360"/>
      </w:pPr>
      <w:rPr>
        <w:rFonts w:ascii="Symbol" w:hAnsi="Symbol" w:cs="Symbol" w:hint="default"/>
        <w:color w:val="auto"/>
      </w:rPr>
    </w:lvl>
  </w:abstractNum>
  <w:abstractNum w:abstractNumId="5">
    <w:lvl w:ilvl="0">
      <w:start w:val="1"/>
      <w:numFmt w:val="bullet"/>
      <w:lvlText w:val=""/>
      <w:lvlJc w:val="start"/>
      <w:pPr>
        <w:tabs>
          <w:tab w:val="num" w:pos="360"/>
        </w:tabs>
        <w:ind w:start="360" w:hanging="360"/>
      </w:pPr>
      <w:rPr>
        <w:rFonts w:ascii="Symbol" w:hAnsi="Symbol" w:cs="Symbol" w:hint="default"/>
        <w:color w:val="auto"/>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Arial" w:hAnsi="Arial" w:eastAsia="Times New Roman" w:cs="Arial"/>
      <w:color w:val="auto"/>
      <w:sz w:val="22"/>
      <w:szCs w:val="20"/>
      <w:lang w:val="en-US" w:eastAsia="zh-CN" w:bidi="hi-IN"/>
    </w:rPr>
  </w:style>
  <w:style w:type="paragraph" w:styleId="Heading1">
    <w:name w:val="heading 1"/>
    <w:basedOn w:val="Normal"/>
    <w:next w:val="Normal"/>
    <w:qFormat/>
    <w:pPr>
      <w:keepNext w:val="true"/>
      <w:numPr>
        <w:ilvl w:val="0"/>
        <w:numId w:val="1"/>
      </w:numPr>
      <w:spacing w:before="320" w:after="60"/>
      <w:outlineLvl w:val="0"/>
    </w:pPr>
    <w:rPr>
      <w:b/>
      <w:sz w:val="32"/>
      <w:u w:val="single"/>
    </w:rPr>
  </w:style>
  <w:style w:type="paragraph" w:styleId="Heading2">
    <w:name w:val="heading 2"/>
    <w:basedOn w:val="Normal"/>
    <w:next w:val="Normal"/>
    <w:qFormat/>
    <w:pPr>
      <w:keepNext w:val="true"/>
      <w:numPr>
        <w:ilvl w:val="1"/>
        <w:numId w:val="1"/>
      </w:numPr>
      <w:spacing w:before="280" w:after="60"/>
      <w:outlineLvl w:val="1"/>
    </w:pPr>
    <w:rPr>
      <w:b/>
      <w:sz w:val="28"/>
    </w:rPr>
  </w:style>
  <w:style w:type="paragraph" w:styleId="Heading3">
    <w:name w:val="heading 3"/>
    <w:basedOn w:val="Normal"/>
    <w:next w:val="Normal"/>
    <w:qFormat/>
    <w:pPr>
      <w:keepNext w:val="true"/>
      <w:numPr>
        <w:ilvl w:val="2"/>
        <w:numId w:val="1"/>
      </w:numPr>
      <w:spacing w:before="200" w:after="60"/>
      <w:outlineLvl w:val="2"/>
    </w:pPr>
    <w:rPr>
      <w:b/>
      <w:i/>
    </w:rPr>
  </w:style>
  <w:style w:type="paragraph" w:styleId="Heading4">
    <w:name w:val="heading 4"/>
    <w:basedOn w:val="Normal"/>
    <w:next w:val="Normal"/>
    <w:qFormat/>
    <w:pPr>
      <w:keepNext w:val="true"/>
      <w:numPr>
        <w:ilvl w:val="3"/>
        <w:numId w:val="1"/>
      </w:numPr>
      <w:outlineLvl w:val="3"/>
    </w:pPr>
    <w:rPr>
      <w:b/>
    </w:rPr>
  </w:style>
  <w:style w:type="character" w:styleId="WW8Num1z0">
    <w:name w:val="WW8Num1z0"/>
    <w:qFormat/>
    <w:rPr>
      <w:rFonts w:ascii="Symbol" w:hAnsi="Symbol" w:cs="Symbol"/>
      <w:color w:val="auto"/>
    </w:rPr>
  </w:style>
  <w:style w:type="character" w:styleId="WW8Num3z0">
    <w:name w:val="WW8Num3z0"/>
    <w:qFormat/>
    <w:rPr>
      <w:rFonts w:ascii="Symbol" w:hAnsi="Symbol" w:cs="Symbol"/>
      <w:color w:val="auto"/>
    </w:rPr>
  </w:style>
  <w:style w:type="character" w:styleId="WW8Num4z0">
    <w:name w:val="WW8Num4z0"/>
    <w:qFormat/>
    <w:rPr>
      <w:rFonts w:ascii="Symbol" w:hAnsi="Symbol" w:cs="Symbol"/>
      <w:color w:val="auto"/>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EWDefault">
    <w:name w:val="EWDefault"/>
    <w:basedOn w:val="Normal"/>
    <w:qFormat/>
    <w:pPr/>
    <w:rPr>
      <w:rFonts w:ascii="Arial" w:hAnsi="Arial" w:cs="Arial"/>
    </w:rPr>
  </w:style>
  <w:style w:type="paragraph" w:styleId="EWHeader1">
    <w:name w:val="EW_Header1"/>
    <w:basedOn w:val="Heading1"/>
    <w:qFormat/>
    <w:pPr>
      <w:numPr>
        <w:ilvl w:val="0"/>
        <w:numId w:val="0"/>
      </w:numPr>
      <w:outlineLvl w:val="9"/>
    </w:pPr>
    <w:rPr>
      <w:rFonts w:ascii="Tahoma" w:hAnsi="Tahoma" w:cs="Tahoma"/>
    </w:rPr>
  </w:style>
  <w:style w:type="paragraph" w:styleId="EWHeader2">
    <w:name w:val="EW_Header2"/>
    <w:basedOn w:val="Heading2"/>
    <w:qFormat/>
    <w:pPr>
      <w:numPr>
        <w:ilvl w:val="0"/>
        <w:numId w:val="0"/>
      </w:numPr>
      <w:outlineLvl w:val="9"/>
    </w:pPr>
    <w:rPr>
      <w:rFonts w:ascii="Tahoma" w:hAnsi="Tahoma" w:cs="Tahoma"/>
    </w:rPr>
  </w:style>
  <w:style w:type="paragraph" w:styleId="EWHeader3">
    <w:name w:val="EW_Header3"/>
    <w:basedOn w:val="Heading3"/>
    <w:qFormat/>
    <w:pPr>
      <w:numPr>
        <w:ilvl w:val="0"/>
        <w:numId w:val="0"/>
      </w:numPr>
      <w:spacing w:before="240" w:after="60"/>
      <w:outlineLvl w:val="9"/>
    </w:pPr>
    <w:rPr>
      <w:rFonts w:ascii="Tahoma" w:hAnsi="Tahoma" w:cs="Tahoma"/>
      <w:sz w:val="24"/>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wmf"/><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43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2001-03-01T17:44:00Z</dcterms:created>
  <dc:creator>Erin E Willis</dc:creator>
  <dc:description/>
  <dc:language>en-CA</dc:language>
  <cp:lastModifiedBy>Erin E Willis</cp:lastModifiedBy>
  <cp:lastPrinted>2001-02-09T13:25:00Z</cp:lastPrinted>
  <dcterms:modified xsi:type="dcterms:W3CDTF">2001-03-01T19:49:00Z</dcterms:modified>
  <cp:revision>6</cp:revision>
  <dc:subject/>
  <dc:title>DEAL DETAILS</dc:title>
</cp:coreProperties>
</file>