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533671729"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9</w:t>
            </w:r>
          </w:hyperlink>
        </w:p>
        <w:p>
          <w:pPr>
            <w:pStyle w:val="TOC1"/>
            <w:rPr/>
          </w:pPr>
          <w:r>
            <w:rPr/>
            <w:t>ARTICLE ONE:</w:t>
            <w:tab/>
            <w:t>GENERAL DEFINITIONS</w:t>
            <w:tab/>
          </w:r>
          <w:hyperlink w:anchor="__RefHeading___Toc476669032">
            <w:r>
              <w:rPr>
                <w:rStyle w:val="IndexLink"/>
              </w:rPr>
              <w:t>9</w:t>
            </w:r>
          </w:hyperlink>
        </w:p>
        <w:p>
          <w:pPr>
            <w:pStyle w:val="TOC1"/>
            <w:rPr/>
          </w:pPr>
          <w:r>
            <w:rPr/>
            <w:t>ARTICLE TWO:</w:t>
            <w:tab/>
            <w:t>TRANSACTION TERMS AND CONDITIONS</w:t>
            <w:tab/>
          </w:r>
          <w:hyperlink w:anchor="__RefHeading___Toc476669033">
            <w:r>
              <w:rPr>
                <w:rStyle w:val="IndexLink"/>
              </w:rPr>
              <w:t>14</w:t>
            </w:r>
          </w:hyperlink>
        </w:p>
        <w:p>
          <w:pPr>
            <w:pStyle w:val="TOC2"/>
            <w:rPr/>
          </w:pPr>
          <w:r>
            <w:rPr/>
            <w:t>2.1</w:t>
            <w:tab/>
            <w:t>Transactions</w:t>
            <w:tab/>
          </w:r>
          <w:hyperlink w:anchor="__RefHeading___Toc476669034">
            <w:r>
              <w:rPr>
                <w:rStyle w:val="IndexLink"/>
              </w:rPr>
              <w:t>14</w:t>
            </w:r>
          </w:hyperlink>
        </w:p>
        <w:p>
          <w:pPr>
            <w:pStyle w:val="TOC2"/>
            <w:rPr/>
          </w:pPr>
          <w:r>
            <w:rPr/>
            <w:t>2.2</w:t>
            <w:tab/>
            <w:t>Governing Terms</w:t>
            <w:tab/>
          </w:r>
          <w:hyperlink w:anchor="__RefHeading___Toc476669035">
            <w:r>
              <w:rPr>
                <w:rStyle w:val="IndexLink"/>
              </w:rPr>
              <w:t>14</w:t>
            </w:r>
          </w:hyperlink>
        </w:p>
        <w:p>
          <w:pPr>
            <w:pStyle w:val="TOC2"/>
            <w:rPr/>
          </w:pPr>
          <w:r>
            <w:rPr/>
            <w:t>2.3</w:t>
            <w:tab/>
            <w:t>Confirmation</w:t>
            <w:tab/>
          </w:r>
          <w:hyperlink w:anchor="__RefHeading___Toc476669036">
            <w:r>
              <w:rPr>
                <w:rStyle w:val="IndexLink"/>
              </w:rPr>
              <w:t>14</w:t>
            </w:r>
          </w:hyperlink>
        </w:p>
        <w:p>
          <w:pPr>
            <w:pStyle w:val="TOC2"/>
            <w:rPr/>
          </w:pPr>
          <w:r>
            <w:rPr/>
            <w:t>2.4</w:t>
            <w:tab/>
            <w:t>Additional Confirmation Terms</w:t>
            <w:tab/>
          </w:r>
          <w:hyperlink w:anchor="__RefHeading___Toc476669037">
            <w:r>
              <w:rPr>
                <w:rStyle w:val="IndexLink"/>
              </w:rPr>
              <w:t>15</w:t>
            </w:r>
          </w:hyperlink>
        </w:p>
        <w:p>
          <w:pPr>
            <w:pStyle w:val="TOC2"/>
            <w:rPr/>
          </w:pPr>
          <w:r>
            <w:rPr/>
            <w:t>2.5</w:t>
            <w:tab/>
            <w:t>Recording</w:t>
            <w:tab/>
          </w:r>
          <w:hyperlink w:anchor="__RefHeading___Toc476669038">
            <w:r>
              <w:rPr>
                <w:rStyle w:val="IndexLink"/>
              </w:rPr>
              <w:t>15</w:t>
            </w:r>
          </w:hyperlink>
        </w:p>
        <w:p>
          <w:pPr>
            <w:pStyle w:val="TOC1"/>
            <w:rPr/>
          </w:pPr>
          <w:r>
            <w:rPr/>
            <w:t>ARTICLE THREE:</w:t>
            <w:tab/>
            <w:t>OBLIGATIONS AND DELIVERIES</w:t>
            <w:tab/>
          </w:r>
          <w:hyperlink w:anchor="__RefHeading___Toc476669039">
            <w:r>
              <w:rPr>
                <w:rStyle w:val="IndexLink"/>
              </w:rPr>
              <w:t>15</w:t>
            </w:r>
          </w:hyperlink>
        </w:p>
        <w:p>
          <w:pPr>
            <w:pStyle w:val="TOC2"/>
            <w:rPr/>
          </w:pPr>
          <w:r>
            <w:rPr/>
            <w:t>3.1</w:t>
            <w:tab/>
            <w:t>Seller’s and Buyer’s Obligations</w:t>
            <w:tab/>
          </w:r>
          <w:hyperlink w:anchor="__RefHeading___Toc476669040">
            <w:r>
              <w:rPr>
                <w:rStyle w:val="IndexLink"/>
              </w:rPr>
              <w:t>15</w:t>
            </w:r>
          </w:hyperlink>
        </w:p>
        <w:p>
          <w:pPr>
            <w:pStyle w:val="TOC2"/>
            <w:rPr/>
          </w:pPr>
          <w:r>
            <w:rPr/>
            <w:t>3.2</w:t>
            <w:tab/>
            <w:t>Transmission and Scheduling</w:t>
            <w:tab/>
          </w:r>
          <w:hyperlink w:anchor="__RefHeading___Toc476669041">
            <w:r>
              <w:rPr>
                <w:rStyle w:val="IndexLink"/>
              </w:rPr>
              <w:t>15</w:t>
            </w:r>
          </w:hyperlink>
        </w:p>
        <w:p>
          <w:pPr>
            <w:pStyle w:val="TOC2"/>
            <w:rPr/>
          </w:pPr>
          <w:r>
            <w:rPr/>
            <w:t>3.3</w:t>
            <w:tab/>
            <w:t>Force Majeure</w:t>
            <w:tab/>
          </w:r>
          <w:hyperlink w:anchor="__RefHeading___Toc476669042">
            <w:r>
              <w:rPr>
                <w:rStyle w:val="IndexLink"/>
              </w:rPr>
              <w:t>16</w:t>
            </w:r>
          </w:hyperlink>
        </w:p>
        <w:p>
          <w:pPr>
            <w:pStyle w:val="TOC1"/>
            <w:rPr/>
          </w:pPr>
          <w:r>
            <w:rPr/>
            <w:t>ARTICLE FOUR:</w:t>
            <w:tab/>
            <w:t>REMEDIES FOR FAILURE TO DELIVER/RECEIVE</w:t>
            <w:tab/>
          </w:r>
          <w:hyperlink w:anchor="__RefHeading___Toc476669043">
            <w:r>
              <w:rPr>
                <w:rStyle w:val="IndexLink"/>
              </w:rPr>
              <w:t>16</w:t>
            </w:r>
          </w:hyperlink>
        </w:p>
        <w:p>
          <w:pPr>
            <w:pStyle w:val="TOC2"/>
            <w:rPr/>
          </w:pPr>
          <w:r>
            <w:rPr/>
            <w:t>4.1</w:t>
            <w:tab/>
            <w:t>Seller Failure</w:t>
            <w:tab/>
          </w:r>
          <w:hyperlink w:anchor="__RefHeading___Toc476669044">
            <w:r>
              <w:rPr>
                <w:rStyle w:val="IndexLink"/>
              </w:rPr>
              <w:t>16</w:t>
            </w:r>
          </w:hyperlink>
        </w:p>
        <w:p>
          <w:pPr>
            <w:pStyle w:val="TOC2"/>
            <w:rPr/>
          </w:pPr>
          <w:r>
            <w:rPr/>
            <w:t>4.2</w:t>
            <w:tab/>
            <w:t>Buyer Failure</w:t>
            <w:tab/>
          </w:r>
          <w:hyperlink w:anchor="__RefHeading___Toc476669045">
            <w:r>
              <w:rPr>
                <w:rStyle w:val="IndexLink"/>
              </w:rPr>
              <w:t>16</w:t>
            </w:r>
          </w:hyperlink>
        </w:p>
        <w:p>
          <w:pPr>
            <w:pStyle w:val="TOC1"/>
            <w:rPr/>
          </w:pPr>
          <w:r>
            <w:rPr/>
            <w:t>ARTICLE FIVE:</w:t>
            <w:tab/>
            <w:t>EVENTS OF DEFAULT; REMEDIES</w:t>
            <w:tab/>
          </w:r>
          <w:hyperlink w:anchor="__RefHeading___Toc476669046">
            <w:r>
              <w:rPr>
                <w:rStyle w:val="IndexLink"/>
              </w:rPr>
              <w:t>16</w:t>
            </w:r>
          </w:hyperlink>
        </w:p>
        <w:p>
          <w:pPr>
            <w:pStyle w:val="TOC2"/>
            <w:rPr/>
          </w:pPr>
          <w:r>
            <w:rPr/>
            <w:t>5.1</w:t>
            <w:tab/>
            <w:t>Events of Default</w:t>
            <w:tab/>
          </w:r>
          <w:hyperlink w:anchor="__RefHeading___Toc476669047">
            <w:r>
              <w:rPr>
                <w:rStyle w:val="IndexLink"/>
              </w:rPr>
              <w:t>16</w:t>
            </w:r>
          </w:hyperlink>
        </w:p>
        <w:p>
          <w:pPr>
            <w:pStyle w:val="TOC2"/>
            <w:rPr/>
          </w:pPr>
          <w:r>
            <w:rPr/>
            <w:t>5.2</w:t>
            <w:tab/>
            <w:t>Declaration of an Early Termination Date and Calculation of Settlement Amounts</w:t>
            <w:tab/>
          </w:r>
          <w:hyperlink w:anchor="__RefHeading___Toc476669048">
            <w:r>
              <w:rPr>
                <w:rStyle w:val="IndexLink"/>
              </w:rPr>
              <w:t>18</w:t>
            </w:r>
          </w:hyperlink>
        </w:p>
        <w:p>
          <w:pPr>
            <w:pStyle w:val="TOC2"/>
            <w:rPr/>
          </w:pPr>
          <w:r>
            <w:rPr/>
            <w:t>5.3</w:t>
            <w:tab/>
            <w:t>Net Out of Settlement Amounts</w:t>
            <w:tab/>
          </w:r>
          <w:hyperlink w:anchor="__RefHeading___Toc476669049">
            <w:r>
              <w:rPr>
                <w:rStyle w:val="IndexLink"/>
              </w:rPr>
              <w:t>18</w:t>
            </w:r>
          </w:hyperlink>
        </w:p>
        <w:p>
          <w:pPr>
            <w:pStyle w:val="TOC2"/>
            <w:rPr/>
          </w:pPr>
          <w:r>
            <w:rPr/>
            <w:t>5.4</w:t>
            <w:tab/>
            <w:t>Notice of Payment of Termination Payment</w:t>
            <w:tab/>
          </w:r>
          <w:hyperlink w:anchor="__RefHeading___Toc476669050">
            <w:r>
              <w:rPr>
                <w:rStyle w:val="IndexLink"/>
              </w:rPr>
              <w:t>18</w:t>
            </w:r>
          </w:hyperlink>
        </w:p>
        <w:p>
          <w:pPr>
            <w:pStyle w:val="TOC2"/>
            <w:rPr/>
          </w:pPr>
          <w:r>
            <w:rPr/>
            <w:t>5.5</w:t>
            <w:tab/>
            <w:t>Disputes With Respect to Termination Payment</w:t>
            <w:tab/>
          </w:r>
          <w:hyperlink w:anchor="__RefHeading___Toc476669051">
            <w:r>
              <w:rPr>
                <w:rStyle w:val="IndexLink"/>
              </w:rPr>
              <w:t>18</w:t>
            </w:r>
          </w:hyperlink>
        </w:p>
        <w:p>
          <w:pPr>
            <w:pStyle w:val="TOC2"/>
            <w:rPr/>
          </w:pPr>
          <w:r>
            <w:rPr/>
            <w:t>5.6</w:t>
            <w:tab/>
            <w:t>Closeout Setoffs</w:t>
            <w:tab/>
          </w:r>
          <w:hyperlink w:anchor="__RefHeading___Toc476669052">
            <w:r>
              <w:rPr>
                <w:rStyle w:val="IndexLink"/>
              </w:rPr>
              <w:t>19</w:t>
            </w:r>
          </w:hyperlink>
        </w:p>
        <w:p>
          <w:pPr>
            <w:pStyle w:val="TOC2"/>
            <w:rPr/>
          </w:pPr>
          <w:r>
            <w:rPr/>
            <w:t>5.7</w:t>
            <w:tab/>
            <w:t>Suspension of Performance</w:t>
            <w:tab/>
          </w:r>
          <w:hyperlink w:anchor="__RefHeading___Toc476669053">
            <w:r>
              <w:rPr>
                <w:rStyle w:val="IndexLink"/>
              </w:rPr>
              <w:t>19</w:t>
            </w:r>
          </w:hyperlink>
        </w:p>
        <w:p>
          <w:pPr>
            <w:pStyle w:val="TOC1"/>
            <w:rPr/>
          </w:pPr>
          <w:r>
            <w:rPr/>
            <w:t>ARTICLE SIX:</w:t>
            <w:tab/>
            <w:t>PAYMENT AND NETTING</w:t>
            <w:tab/>
          </w:r>
          <w:hyperlink w:anchor="__RefHeading___Toc476669054">
            <w:r>
              <w:rPr>
                <w:rStyle w:val="IndexLink"/>
              </w:rPr>
              <w:t>19</w:t>
            </w:r>
          </w:hyperlink>
        </w:p>
        <w:p>
          <w:pPr>
            <w:pStyle w:val="TOC2"/>
            <w:rPr/>
          </w:pPr>
          <w:r>
            <w:rPr/>
            <w:t>6.1</w:t>
            <w:tab/>
            <w:t>Billing Period</w:t>
            <w:tab/>
          </w:r>
          <w:hyperlink w:anchor="__RefHeading___Toc476669055">
            <w:r>
              <w:rPr>
                <w:rStyle w:val="IndexLink"/>
              </w:rPr>
              <w:t>19</w:t>
            </w:r>
          </w:hyperlink>
        </w:p>
        <w:p>
          <w:pPr>
            <w:pStyle w:val="TOC2"/>
            <w:rPr/>
          </w:pPr>
          <w:r>
            <w:rPr/>
            <w:t>6.2</w:t>
            <w:tab/>
            <w:t>Timeliness of Payment</w:t>
            <w:tab/>
          </w:r>
          <w:hyperlink w:anchor="__RefHeading___Toc476669056">
            <w:r>
              <w:rPr>
                <w:rStyle w:val="IndexLink"/>
              </w:rPr>
              <w:t>20</w:t>
            </w:r>
          </w:hyperlink>
        </w:p>
        <w:p>
          <w:pPr>
            <w:pStyle w:val="TOC2"/>
            <w:rPr/>
          </w:pPr>
          <w:r>
            <w:rPr/>
            <w:t>6.3</w:t>
            <w:tab/>
            <w:t>Disputes and Adjustments of Invoices</w:t>
            <w:tab/>
          </w:r>
          <w:hyperlink w:anchor="__RefHeading___Toc476669057">
            <w:r>
              <w:rPr>
                <w:rStyle w:val="IndexLink"/>
              </w:rPr>
              <w:t>20</w:t>
            </w:r>
          </w:hyperlink>
        </w:p>
        <w:p>
          <w:pPr>
            <w:pStyle w:val="TOC2"/>
            <w:rPr/>
          </w:pPr>
          <w:r>
            <w:rPr/>
            <w:t>6.4</w:t>
            <w:tab/>
            <w:t>Netting of Payments</w:t>
            <w:tab/>
          </w:r>
          <w:hyperlink w:anchor="__RefHeading___Toc476669058">
            <w:r>
              <w:rPr>
                <w:rStyle w:val="IndexLink"/>
              </w:rPr>
              <w:t>20</w:t>
            </w:r>
          </w:hyperlink>
        </w:p>
        <w:p>
          <w:pPr>
            <w:pStyle w:val="TOC2"/>
            <w:rPr/>
          </w:pPr>
          <w:r>
            <w:rPr/>
            <w:t>6.5</w:t>
            <w:tab/>
            <w:t>Payment Obligation Absent Netting</w:t>
            <w:tab/>
          </w:r>
          <w:hyperlink w:anchor="__RefHeading___Toc476669059">
            <w:r>
              <w:rPr>
                <w:rStyle w:val="IndexLink"/>
              </w:rPr>
              <w:t>20</w:t>
            </w:r>
          </w:hyperlink>
        </w:p>
        <w:p>
          <w:pPr>
            <w:pStyle w:val="TOC2"/>
            <w:rPr/>
          </w:pPr>
          <w:r>
            <w:rPr/>
            <w:t>6.6</w:t>
            <w:tab/>
            <w:t>Security</w:t>
            <w:tab/>
          </w:r>
          <w:hyperlink w:anchor="__RefHeading___Toc476669060">
            <w:r>
              <w:rPr>
                <w:rStyle w:val="IndexLink"/>
              </w:rPr>
              <w:t>21</w:t>
            </w:r>
          </w:hyperlink>
        </w:p>
        <w:p>
          <w:pPr>
            <w:pStyle w:val="TOC2"/>
            <w:rPr/>
          </w:pPr>
          <w:r>
            <w:rPr/>
            <w:t>6.7</w:t>
            <w:tab/>
            <w:t>Payment for Options</w:t>
            <w:tab/>
          </w:r>
          <w:hyperlink w:anchor="__RefHeading___Toc476669061">
            <w:r>
              <w:rPr>
                <w:rStyle w:val="IndexLink"/>
              </w:rPr>
              <w:t>21</w:t>
            </w:r>
          </w:hyperlink>
        </w:p>
        <w:p>
          <w:pPr>
            <w:pStyle w:val="TOC2"/>
            <w:rPr/>
          </w:pPr>
          <w:r>
            <w:rPr/>
            <w:t>6.8</w:t>
            <w:tab/>
            <w:t>Transaction Netting</w:t>
            <w:tab/>
          </w:r>
          <w:hyperlink w:anchor="__RefHeading___Toc476669062">
            <w:r>
              <w:rPr>
                <w:rStyle w:val="IndexLink"/>
              </w:rPr>
              <w:t>21</w:t>
            </w:r>
          </w:hyperlink>
        </w:p>
        <w:p>
          <w:pPr>
            <w:pStyle w:val="TOC1"/>
            <w:rPr/>
          </w:pPr>
          <w:r>
            <w:rPr/>
            <w:t>ARTICLE SEVEN:</w:t>
            <w:tab/>
            <w:t>LIMITATIONS</w:t>
            <w:tab/>
          </w:r>
          <w:hyperlink w:anchor="__RefHeading___Toc476669063">
            <w:r>
              <w:rPr>
                <w:rStyle w:val="IndexLink"/>
              </w:rPr>
              <w:t>21</w:t>
            </w:r>
          </w:hyperlink>
        </w:p>
        <w:p>
          <w:pPr>
            <w:pStyle w:val="TOC2"/>
            <w:rPr/>
          </w:pPr>
          <w:r>
            <w:rPr/>
            <w:t>7.1</w:t>
            <w:tab/>
            <w:t>Limitation of Remedies, Liability and Damages</w:t>
            <w:tab/>
          </w:r>
          <w:hyperlink w:anchor="__RefHeading___Toc476669064">
            <w:r>
              <w:rPr>
                <w:rStyle w:val="IndexLink"/>
              </w:rPr>
              <w:t>21</w:t>
            </w:r>
          </w:hyperlink>
        </w:p>
        <w:p>
          <w:pPr>
            <w:pStyle w:val="TOC1"/>
            <w:rPr/>
          </w:pPr>
          <w:r>
            <w:rPr/>
            <w:t>ARTICLE EIGHT:</w:t>
            <w:tab/>
            <w:t>CREDIT AND COLLATERAL REQUIREMENTS</w:t>
            <w:tab/>
          </w:r>
          <w:hyperlink w:anchor="__RefHeading___Toc476669065">
            <w:r>
              <w:rPr>
                <w:rStyle w:val="IndexLink"/>
              </w:rPr>
              <w:t>22</w:t>
            </w:r>
          </w:hyperlink>
        </w:p>
        <w:p>
          <w:pPr>
            <w:pStyle w:val="TOC2"/>
            <w:rPr/>
          </w:pPr>
          <w:r>
            <w:rPr/>
            <w:t>8.1</w:t>
            <w:tab/>
            <w:t>Party A Credit Protection</w:t>
            <w:tab/>
          </w:r>
          <w:hyperlink w:anchor="__RefHeading___Toc476669066">
            <w:r>
              <w:rPr>
                <w:rStyle w:val="IndexLink"/>
              </w:rPr>
              <w:t>22</w:t>
            </w:r>
          </w:hyperlink>
        </w:p>
        <w:p>
          <w:pPr>
            <w:pStyle w:val="TOC2"/>
            <w:rPr/>
          </w:pPr>
          <w:r>
            <w:rPr/>
            <w:t>8.2</w:t>
            <w:tab/>
            <w:t>Party B Credit Protection</w:t>
            <w:tab/>
          </w:r>
          <w:hyperlink w:anchor="__RefHeading___Toc476669067">
            <w:r>
              <w:rPr>
                <w:rStyle w:val="IndexLink"/>
              </w:rPr>
              <w:t>24</w:t>
            </w:r>
          </w:hyperlink>
        </w:p>
        <w:p>
          <w:pPr>
            <w:pStyle w:val="TOC2"/>
            <w:rPr/>
          </w:pPr>
          <w:r>
            <w:rPr/>
            <w:t>8.3</w:t>
            <w:tab/>
            <w:t>Grant of Security Interest/Remedies</w:t>
            <w:tab/>
          </w:r>
          <w:hyperlink w:anchor="__RefHeading___Toc476669068">
            <w:r>
              <w:rPr>
                <w:rStyle w:val="IndexLink"/>
              </w:rPr>
              <w:t>25</w:t>
            </w:r>
          </w:hyperlink>
        </w:p>
        <w:p>
          <w:pPr>
            <w:pStyle w:val="TOC1"/>
            <w:rPr/>
          </w:pPr>
          <w:r>
            <w:rPr/>
            <w:t>ARTICLE NINE:</w:t>
            <w:tab/>
            <w:t>GOVERNMENTAL CHARGES</w:t>
            <w:tab/>
          </w:r>
          <w:hyperlink w:anchor="__RefHeading___Toc476669069">
            <w:r>
              <w:rPr>
                <w:rStyle w:val="IndexLink"/>
              </w:rPr>
              <w:t>26</w:t>
            </w:r>
          </w:hyperlink>
        </w:p>
        <w:p>
          <w:pPr>
            <w:pStyle w:val="TOC2"/>
            <w:rPr/>
          </w:pPr>
          <w:r>
            <w:rPr/>
            <w:t>9.1</w:t>
            <w:tab/>
            <w:t>Cooperation</w:t>
            <w:tab/>
          </w:r>
          <w:hyperlink w:anchor="__RefHeading___Toc476669070">
            <w:r>
              <w:rPr>
                <w:rStyle w:val="IndexLink"/>
              </w:rPr>
              <w:t>26</w:t>
            </w:r>
          </w:hyperlink>
        </w:p>
        <w:p>
          <w:pPr>
            <w:pStyle w:val="TOC2"/>
            <w:rPr/>
          </w:pPr>
          <w:r>
            <w:rPr/>
            <w:t>9.2</w:t>
            <w:tab/>
            <w:t>Governmental Charges</w:t>
            <w:tab/>
          </w:r>
          <w:hyperlink w:anchor="__RefHeading___Toc476669071">
            <w:r>
              <w:rPr>
                <w:rStyle w:val="IndexLink"/>
              </w:rPr>
              <w:t>26</w:t>
            </w:r>
          </w:hyperlink>
        </w:p>
        <w:p>
          <w:pPr>
            <w:pStyle w:val="TOC1"/>
            <w:rPr/>
          </w:pPr>
          <w:r>
            <w:rPr/>
            <w:t>ARTICLE TEN:</w:t>
            <w:tab/>
            <w:t>MISCELLANEOUS</w:t>
            <w:tab/>
          </w:r>
          <w:hyperlink w:anchor="__RefHeading___Toc476669072">
            <w:r>
              <w:rPr>
                <w:rStyle w:val="IndexLink"/>
              </w:rPr>
              <w:t>26</w:t>
            </w:r>
          </w:hyperlink>
        </w:p>
        <w:p>
          <w:pPr>
            <w:pStyle w:val="TOC2"/>
            <w:rPr/>
          </w:pPr>
          <w:r>
            <w:rPr/>
            <w:t>10.1</w:t>
            <w:tab/>
            <w:t>Term of Master Agreement</w:t>
            <w:tab/>
          </w:r>
          <w:hyperlink w:anchor="__RefHeading___Toc476669073">
            <w:r>
              <w:rPr>
                <w:rStyle w:val="IndexLink"/>
              </w:rPr>
              <w:t>26</w:t>
            </w:r>
          </w:hyperlink>
        </w:p>
        <w:p>
          <w:pPr>
            <w:pStyle w:val="TOC2"/>
            <w:rPr/>
          </w:pPr>
          <w:r>
            <w:rPr/>
            <w:t>10.2</w:t>
            <w:tab/>
            <w:t>Representations and Warranties</w:t>
            <w:tab/>
          </w:r>
          <w:hyperlink w:anchor="__RefHeading___Toc476669074">
            <w:r>
              <w:rPr>
                <w:rStyle w:val="IndexLink"/>
              </w:rPr>
              <w:t>26</w:t>
            </w:r>
          </w:hyperlink>
        </w:p>
        <w:p>
          <w:pPr>
            <w:pStyle w:val="TOC2"/>
            <w:rPr/>
          </w:pPr>
          <w:r>
            <w:rPr/>
            <w:t>10.3</w:t>
            <w:tab/>
            <w:t>Title and Risk of Loss</w:t>
            <w:tab/>
          </w:r>
          <w:hyperlink w:anchor="__RefHeading___Toc476669075">
            <w:r>
              <w:rPr>
                <w:rStyle w:val="IndexLink"/>
              </w:rPr>
              <w:t>28</w:t>
            </w:r>
          </w:hyperlink>
        </w:p>
        <w:p>
          <w:pPr>
            <w:pStyle w:val="TOC2"/>
            <w:rPr/>
          </w:pPr>
          <w:r>
            <w:rPr/>
            <w:t>10.4</w:t>
            <w:tab/>
            <w:t>Indemnity</w:t>
            <w:tab/>
          </w:r>
          <w:hyperlink w:anchor="__RefHeading___Toc476669076">
            <w:r>
              <w:rPr>
                <w:rStyle w:val="IndexLink"/>
              </w:rPr>
              <w:t>28</w:t>
            </w:r>
          </w:hyperlink>
        </w:p>
        <w:p>
          <w:pPr>
            <w:pStyle w:val="TOC2"/>
            <w:rPr/>
          </w:pPr>
          <w:r>
            <w:rPr/>
            <w:t>10.5</w:t>
            <w:tab/>
            <w:t>Assignment</w:t>
            <w:tab/>
          </w:r>
          <w:hyperlink w:anchor="__RefHeading___Toc476669077">
            <w:r>
              <w:rPr>
                <w:rStyle w:val="IndexLink"/>
              </w:rPr>
              <w:t>28</w:t>
            </w:r>
          </w:hyperlink>
        </w:p>
        <w:p>
          <w:pPr>
            <w:pStyle w:val="TOC2"/>
            <w:rPr/>
          </w:pPr>
          <w:r>
            <w:rPr/>
            <w:t>10.6</w:t>
            <w:tab/>
            <w:t>Governing Law</w:t>
            <w:tab/>
          </w:r>
          <w:hyperlink w:anchor="__RefHeading___Toc476669078">
            <w:r>
              <w:rPr>
                <w:rStyle w:val="IndexLink"/>
              </w:rPr>
              <w:t>28</w:t>
            </w:r>
          </w:hyperlink>
        </w:p>
        <w:p>
          <w:pPr>
            <w:pStyle w:val="TOC2"/>
            <w:rPr/>
          </w:pPr>
          <w:r>
            <w:rPr/>
            <w:t>10.7</w:t>
            <w:tab/>
            <w:t>Notices</w:t>
            <w:tab/>
          </w:r>
          <w:hyperlink w:anchor="__RefHeading___Toc476669079">
            <w:r>
              <w:rPr>
                <w:rStyle w:val="IndexLink"/>
              </w:rPr>
              <w:t>29</w:t>
            </w:r>
          </w:hyperlink>
        </w:p>
        <w:p>
          <w:pPr>
            <w:pStyle w:val="TOC2"/>
            <w:rPr/>
          </w:pPr>
          <w:r>
            <w:rPr/>
            <w:t>10.8</w:t>
            <w:tab/>
            <w:t>General</w:t>
            <w:tab/>
          </w:r>
          <w:hyperlink w:anchor="__RefHeading___Toc476669080">
            <w:r>
              <w:rPr>
                <w:rStyle w:val="IndexLink"/>
              </w:rPr>
              <w:t>29</w:t>
            </w:r>
          </w:hyperlink>
        </w:p>
        <w:p>
          <w:pPr>
            <w:pStyle w:val="TOC2"/>
            <w:rPr/>
          </w:pPr>
          <w:r>
            <w:rPr/>
            <w:t>10.9</w:t>
            <w:tab/>
            <w:t>Audit</w:t>
            <w:tab/>
          </w:r>
          <w:hyperlink w:anchor="__RefHeading___Toc476669081">
            <w:r>
              <w:rPr>
                <w:rStyle w:val="IndexLink"/>
              </w:rPr>
              <w:t>29</w:t>
            </w:r>
          </w:hyperlink>
        </w:p>
        <w:p>
          <w:pPr>
            <w:pStyle w:val="TOC2"/>
            <w:rPr/>
          </w:pPr>
          <w:r>
            <w:rPr/>
            <w:t>10.10</w:t>
            <w:tab/>
            <w:t>Forward Contract</w:t>
            <w:tab/>
          </w:r>
          <w:hyperlink w:anchor="__RefHeading___Toc476669082">
            <w:r>
              <w:rPr>
                <w:rStyle w:val="IndexLink"/>
              </w:rPr>
              <w:t>30</w:t>
            </w:r>
          </w:hyperlink>
        </w:p>
        <w:p>
          <w:pPr>
            <w:pStyle w:val="TOC2"/>
            <w:rPr/>
          </w:pPr>
          <w:r>
            <w:rPr/>
            <w:t>10.11</w:t>
            <w:tab/>
            <w:t>Confidentiality</w:t>
            <w:tab/>
          </w:r>
          <w:hyperlink w:anchor="__RefHeading___Toc476669083">
            <w:r>
              <w:rPr>
                <w:rStyle w:val="IndexLink"/>
              </w:rPr>
              <w:t>30</w:t>
            </w:r>
          </w:hyperlink>
        </w:p>
        <w:p>
          <w:pPr>
            <w:pStyle w:val="TOC1"/>
            <w:rPr/>
          </w:pPr>
          <w:r>
            <w:rPr/>
          </w:r>
          <w:r>
            <w:rPr/>
            <w:fldChar w:fldCharType="end"/>
          </w:r>
        </w:p>
      </w:sdtContent>
    </w:sdt>
    <w:p>
      <w:pPr>
        <w:pStyle w:val="Normal"/>
        <w:rPr>
          <w:caps/>
          <w:lang w:val="en-CA" w:eastAsia="en-CA"/>
        </w:rPr>
      </w:pPr>
      <w:r>
        <w:rPr>
          <w:caps/>
          <w:lang w:val="en-CA" w:eastAsia="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 (ONLINE WITH CREDIT) (“GTC”)</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date it is accepted by the Counterparty on the Website ("Effective Date").  [The </w:t>
      </w:r>
      <w:r>
        <w:rPr>
          <w:i/>
          <w:iCs/>
        </w:rPr>
        <w:t xml:space="preserve">Master Agreement </w:t>
      </w:r>
      <w:r>
        <w:rPr/>
        <w:t xml:space="preserve">shall consist of the EEI Master Power Purchase and Sale Agreement Version 2.1 (modified 4/25/00) located on the EEI website at __________[LESLIE PLEASE INSERT LOCATION ON EEI WEBSITE] as if such form were set forth herein its entirety, as such  form of EEI Master Power Purchase and Sale Agreement shall be amended, supplemented and modified by the elections, supplements and modifications set forth in this Cover Sheet.  ADD IF NOT FEASIBLE TO PUT EEI PREPRINTED FORM ONLINE.]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any Collateral Annex (the "Collateral Annex") and all Transactions (including any confirmations accepted in accordance with Section 2.3 hereto) shall be referred to as the "Agreement."  This Master Agreement shall be considered to be General Terms and Conditions as such term is referenced in the Password Application and the Electronic Trading Agreement posted on the Website.  The Parties to this </w:t>
      </w:r>
      <w:r>
        <w:rPr>
          <w:i/>
        </w:rPr>
        <w:t>Master Agreement</w:t>
      </w:r>
      <w:r>
        <w:rPr/>
        <w:t xml:space="preserve"> are the following:</w:t>
      </w:r>
    </w:p>
    <w:p>
      <w:pPr>
        <w:pStyle w:val="coverbody"/>
        <w:spacing w:before="0" w:after="120"/>
        <w:rPr/>
      </w:pPr>
      <w:r>
        <w:rPr/>
      </w:r>
    </w:p>
    <w:tbl>
      <w:tblPr>
        <w:tblW w:w="10260" w:type="dxa"/>
        <w:jc w:val="start"/>
        <w:tblInd w:w="108" w:type="dxa"/>
        <w:tblLayout w:type="fixed"/>
        <w:tblCellMar>
          <w:top w:w="0" w:type="dxa"/>
          <w:start w:w="108" w:type="dxa"/>
          <w:bottom w:w="0" w:type="dxa"/>
          <w:end w:w="108" w:type="dxa"/>
        </w:tblCellMar>
      </w:tblPr>
      <w:tblGrid>
        <w:gridCol w:w="5220"/>
        <w:gridCol w:w="504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UBS AG ("Party A" or “UBS”), a bank organized under the laws of Switzerland</w:t>
            </w:r>
          </w:p>
        </w:tc>
        <w:tc>
          <w:tcPr>
            <w:tcW w:w="5040" w:type="dxa"/>
            <w:tcBorders/>
          </w:tcPr>
          <w:p>
            <w:pPr>
              <w:pStyle w:val="Normal"/>
              <w:tabs>
                <w:tab w:val="clear" w:pos="720"/>
                <w:tab w:val="right" w:pos="4475" w:leader="none"/>
              </w:tabs>
              <w:spacing w:before="0" w:after="120"/>
              <w:ind w:start="245" w:end="0"/>
              <w:rPr/>
            </w:pPr>
            <w:r>
              <w:rPr>
                <w:b/>
                <w:bCs/>
                <w:sz w:val="20"/>
              </w:rPr>
              <w:t>Name:</w:t>
            </w:r>
            <w:r>
              <w:rPr>
                <w:sz w:val="20"/>
              </w:rPr>
              <w:t xml:space="preserve"> ("</w:t>
            </w:r>
            <w:r>
              <w:rPr>
                <w:sz w:val="20"/>
                <w:szCs w:val="24"/>
              </w:rPr>
              <w:t>Counterparty</w:t>
            </w:r>
            <w:r>
              <w:rPr>
                <w:sz w:val="20"/>
              </w:rPr>
              <w:t>"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 [to be revised]</w:t>
              <w:br/>
              <w:tab/>
              <w:t>Houston, Texas 77210-4428</w:t>
            </w:r>
          </w:p>
        </w:tc>
        <w:tc>
          <w:tcPr>
            <w:tcW w:w="504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04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04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Attn: Power Contract Administration [to be revised]</w:t>
              <w:br/>
              <w:t>Phone:  (713) 853-1771</w:t>
              <w:br/>
              <w:t>Facsimile: (713) 646-2443</w:t>
              <w:br/>
              <w:t>Duns: 848921276</w:t>
              <w:br/>
              <w:t>Federal Tax ID Number: 76-0413675</w:t>
            </w:r>
          </w:p>
        </w:tc>
        <w:tc>
          <w:tcPr>
            <w:tcW w:w="504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 xml:space="preserve">UBS [to be revised]1400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UBS [to be revised]</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04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UBS [to be revised]</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 [to be revised]</w:t>
              <w:br/>
              <w:tab/>
              <w:t>for: UBS</w:t>
              <w:br/>
              <w:t xml:space="preserve">ABA: </w:t>
              <w:tab/>
              <w:t xml:space="preserve">Routing # </w:t>
              <w:br/>
              <w:t xml:space="preserve">ACCT: </w:t>
              <w:tab/>
              <w:t>#</w:t>
              <w:br/>
              <w:t>Confirmation:  UBS</w:t>
              <w:br/>
              <w:tab/>
              <w:t xml:space="preserve">             Credit and Collections</w:t>
              <w:br/>
              <w:tab/>
              <w:t xml:space="preserve">              (713) 853-5667</w:t>
            </w:r>
          </w:p>
        </w:tc>
        <w:tc>
          <w:tcPr>
            <w:tcW w:w="504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UBS [to be revised]</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spacing w:lineRule="auto" w:line="240"/>
              <w:rPr>
                <w:b/>
                <w:bCs/>
                <w:sz w:val="20"/>
              </w:rPr>
            </w:pPr>
            <w:r>
              <w:rPr>
                <w:b/>
                <w:bCs/>
                <w:sz w:val="20"/>
              </w:rPr>
              <w:t>With additional Notices of an Event of Default or Potential Event of Default to:</w:t>
            </w:r>
          </w:p>
          <w:p>
            <w:pPr>
              <w:pStyle w:val="Normal"/>
              <w:tabs>
                <w:tab w:val="clear" w:pos="720"/>
                <w:tab w:val="right" w:pos="4320" w:leader="none"/>
              </w:tabs>
              <w:ind w:start="245" w:end="0"/>
              <w:rPr>
                <w:sz w:val="20"/>
              </w:rPr>
            </w:pPr>
            <w:r>
              <w:rPr>
                <w:sz w:val="20"/>
              </w:rPr>
              <w:t>UBS [to be revised]</w:t>
              <w:br/>
              <w:t>1400 Smith Street</w:t>
              <w:br/>
              <w:t>Houston, Texas  77002-7361</w:t>
              <w:br/>
              <w:t>Attn: Assistant General Counsel, Trading Group</w:t>
              <w:br/>
              <w:t>Facsimile: (713) 646-4818</w:t>
            </w:r>
          </w:p>
        </w:tc>
        <w:tc>
          <w:tcPr>
            <w:tcW w:w="5040" w:type="dxa"/>
            <w:tcBorders/>
          </w:tcPr>
          <w:p>
            <w:pPr>
              <w:pStyle w:val="BodyTextIndent"/>
              <w:rPr/>
            </w:pPr>
            <w:r>
              <w:rPr>
                <w:rFonts w:cs="Times New Roman"/>
                <w:b/>
                <w:bCs/>
              </w:rPr>
              <w:t>With additional Notices of an Event of Default or Potential Event of Default to</w:t>
            </w:r>
            <w:r>
              <w:rPr>
                <w:b/>
                <w:bCs/>
              </w:rPr>
              <w:t>:</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A Tariff</w:t>
        <w:tab/>
        <w:t>Tariff FERC</w:t>
        <w:tab/>
        <w:tab/>
        <w:t xml:space="preserve">Dated </w:t>
      </w:r>
      <w:r>
        <w:rPr>
          <w:u w:val="single"/>
        </w:rPr>
        <w:tab/>
      </w:r>
      <w:r>
        <w:rPr/>
        <w:tab/>
        <w:t xml:space="preserve">Docket Number </w:t>
      </w:r>
      <w:r>
        <w:rPr>
          <w:u w:val="single"/>
        </w:rPr>
        <w:tab/>
      </w:r>
    </w:p>
    <w:p>
      <w:pPr>
        <w:pStyle w:val="coverbody"/>
        <w:tabs>
          <w:tab w:val="clear" w:pos="720"/>
          <w:tab w:val="left" w:pos="1620" w:leader="none"/>
          <w:tab w:val="left" w:pos="297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FERC </w:t>
      </w:r>
      <w:r>
        <w:rPr>
          <w:u w:val="single"/>
        </w:rPr>
        <w:t xml:space="preserve">Approved Market Based Rate Tariff for Party B </w:t>
      </w:r>
      <w:r>
        <w:rPr/>
        <w:t>Dated</w:t>
        <w:tab/>
        <w:t xml:space="preserve">Docket Number </w:t>
      </w:r>
      <w:r>
        <w:rPr>
          <w:u w:val="single"/>
        </w:rPr>
        <w:tab/>
      </w:r>
    </w:p>
    <w:tbl>
      <w:tblPr>
        <w:tblW w:w="10368" w:type="dxa"/>
        <w:jc w:val="start"/>
        <w:tblInd w:w="0" w:type="dxa"/>
        <w:tblLayout w:type="fixed"/>
        <w:tblCellMar>
          <w:top w:w="0" w:type="dxa"/>
          <w:start w:w="108" w:type="dxa"/>
          <w:bottom w:w="0" w:type="dxa"/>
          <w:end w:w="108" w:type="dxa"/>
        </w:tblCellMar>
      </w:tblPr>
      <w:tblGrid>
        <w:gridCol w:w="3708"/>
        <w:gridCol w:w="2970"/>
        <w:gridCol w:w="144"/>
        <w:gridCol w:w="354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666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666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66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28"/>
              </w:rPr>
              <w:sym w:font="Wingdings 2" w:char="f054"/>
            </w:r>
            <w:r>
              <w:rPr>
                <w:sz w:val="20"/>
              </w:rPr>
              <w:t xml:space="preserve">  </w:t>
            </w:r>
            <w:r>
              <w:rPr>
                <w:sz w:val="20"/>
              </w:rPr>
              <w:t>Party A:</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means an amount equal to 2% of shareholders’ equity (howsoever described) of Party A as shown on the most recent annual audited Financial Statements of Party A</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Other Entity:</w:t>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$_________</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Cross Default for Party B:</w:t>
            </w:r>
          </w:p>
        </w:tc>
        <w:tc>
          <w:tcPr>
            <w:tcW w:w="369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28"/>
              </w:rPr>
              <w:sym w:font="Wingdings 2" w:char="f054"/>
            </w:r>
            <w:r>
              <w:rPr>
                <w:sz w:val="20"/>
              </w:rPr>
              <w:t xml:space="preserve">  </w:t>
            </w:r>
            <w:r>
              <w:rPr>
                <w:sz w:val="20"/>
              </w:rPr>
              <w:t>Party B:</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means an amount equal to 2% of shareholders’ equity (howsoever described) of Party B (or if Party B has provided an acceptable guaranty to Party A of Party B’s obligations under this Agreement, then with respect to such guarantor and not Party B) as shown on the most recent annual audited Financial Statements of Party B or its guarantor if applicable</w:t>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2" w:cs="Wingdings 2" w:ascii="Wingdings 2" w:hAnsi="Wingdings 2"/>
                <w:b/>
                <w:bCs/>
                <w:sz w:val="32"/>
              </w:rPr>
              <w:sym w:font="Wingdings 2" w:char="f02a"/>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666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66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6660" w:type="dxa"/>
            <w:gridSpan w:val="3"/>
            <w:tcBorders/>
          </w:tcPr>
          <w:p>
            <w:pPr>
              <w:pStyle w:val="Normal"/>
              <w:tabs>
                <w:tab w:val="clear" w:pos="720"/>
                <w:tab w:val="left" w:pos="7092" w:leader="none"/>
              </w:tabs>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ab/>
              <w:t>Option A; provided, if there is a guaranty issued for the benefit of Party A to guaranty Transactions with Party B for the sale or purchase of a Product covered by this Master Agreement, Option B shall apply with respect to Party B, and Party B shall supply the financial information of the guarantor in accordance with Section 8.1(a).</w:t>
              <w:br/>
            </w:r>
            <w:r>
              <w:rPr>
                <w:rFonts w:eastAsia="Wingdings 2" w:cs="Wingdings 2" w:ascii="Wingdings 2" w:hAnsi="Wingdings 2"/>
                <w:b/>
                <w:bCs/>
                <w:sz w:val="32"/>
              </w:rPr>
              <w:sym w:font="Wingdings 2" w:char="f02a"/>
            </w:r>
            <w:r>
              <w:rPr>
                <w:sz w:val="20"/>
              </w:rPr>
              <w:tab/>
              <w:t xml:space="preserve">Option B   Specify: </w:t>
            </w:r>
            <w:r>
              <w:rPr>
                <w:sz w:val="20"/>
                <w:u w:val="single"/>
              </w:rPr>
              <w:tab/>
            </w:r>
            <w:r>
              <w:rPr>
                <w:sz w:val="20"/>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(b)</w:t>
            </w:r>
            <w:r>
              <w:rPr>
                <w:sz w:val="20"/>
              </w:rPr>
              <w:t xml:space="preserve"> Credit Assurances [Genia – help format to check Applicable box]:</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b/>
                <w:bCs/>
                <w:sz w:val="32"/>
              </w:rPr>
              <w:t>x</w:t>
            </w:r>
            <w:r>
              <w:rPr>
                <w:sz w:val="20"/>
              </w:rPr>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666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 xml:space="preserve">  </w:t>
            </w:r>
            <w:r>
              <w:rPr>
                <w:sz w:val="20"/>
              </w:rPr>
              <w:t>Option A</w:t>
            </w:r>
            <w:r>
              <w:rPr>
                <w:rFonts w:eastAsia="Wingdings 2" w:cs="Wingdings 2" w:ascii="Wingdings 2" w:hAnsi="Wingdings 2"/>
                <w:b/>
                <w:bCs/>
                <w:sz w:val="32"/>
              </w:rPr>
              <w:sym w:font="Wingdings 2" w:char="f02a"/>
            </w:r>
            <w:r>
              <w:rPr>
                <w:sz w:val="20"/>
              </w:rPr>
              <w:tab/>
              <w:t xml:space="preserve">Option B   Specify: </w:t>
            </w:r>
            <w:r>
              <w:rPr>
                <w:sz w:val="20"/>
                <w:u w:val="single"/>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rHeight w:val="432" w:hRule="atLeast"/>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It shall be a Downgrade Event for Party A if [Party A’s][Party A's Guarantor] Credit Rating falls below __________ from S&amp;P or  __________ from Moody's or if  [Party A][Party A's Guarantor]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354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666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666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by changing "Section 2.4" to "Section 2.5".</w:t>
      </w:r>
    </w:p>
    <w:p>
      <w:pPr>
        <w:pStyle w:val="coverbody"/>
        <w:numPr>
          <w:ilvl w:val="1"/>
          <w:numId w:val="13"/>
        </w:numPr>
        <w:tabs>
          <w:tab w:val="clear" w:pos="720"/>
          <w:tab w:val="left" w:pos="360" w:leader="none"/>
          <w:tab w:val="left" w:pos="900" w:leader="none"/>
        </w:tabs>
        <w:spacing w:before="0" w:after="120"/>
        <w:ind w:hanging="0" w:start="360" w:end="0"/>
        <w:rPr>
          <w:szCs w:val="24"/>
        </w:rPr>
      </w:pPr>
      <w:r>
        <w:rPr/>
        <w:t>The following definition is added as Section 1.62:  “Website” means the website or other internet-based electronic trading facility established by Party A that references this Master Agreement.</w:t>
      </w:r>
    </w:p>
    <w:p>
      <w:pPr>
        <w:pStyle w:val="Heading2"/>
        <w:numPr>
          <w:ilvl w:val="0"/>
          <w:numId w:val="13"/>
        </w:numPr>
        <w:tabs>
          <w:tab w:val="left" w:pos="360" w:leader="none"/>
        </w:tabs>
        <w:spacing w:before="0" w:after="120"/>
        <w:ind w:hanging="0" w:start="0" w:end="0"/>
        <w:rPr>
          <w:sz w:val="20"/>
        </w:rPr>
      </w:pPr>
      <w:r>
        <w:rPr>
          <w:b/>
          <w:bCs/>
          <w:sz w:val="20"/>
        </w:rPr>
        <w:t>Transactions</w:t>
      </w:r>
      <w:r>
        <w:rPr>
          <w:sz w:val="20"/>
        </w:rPr>
        <w:t>.  Section 2.1 is hereby amended by adding the phrase “, electronically via an electronic trading platform “ immediately before the phrase “or, if expressly required by either Party” in the first sentence.</w:t>
      </w:r>
    </w:p>
    <w:p>
      <w:pPr>
        <w:pStyle w:val="BodyText"/>
        <w:rPr/>
      </w:pPr>
      <w:r>
        <w:rPr>
          <w:sz w:val="20"/>
        </w:rPr>
        <w:t>(c)</w:t>
      </w:r>
      <w:r>
        <w:rPr>
          <w:b/>
          <w:bCs/>
          <w:sz w:val="20"/>
        </w:rPr>
        <w:t xml:space="preserve"> Events of Default</w:t>
      </w:r>
      <w:r>
        <w:rPr>
          <w:sz w:val="20"/>
        </w:rPr>
        <w:t>.  The following are added as additional Events of Default under Section 5.1:</w:t>
      </w:r>
    </w:p>
    <w:p>
      <w:pPr>
        <w:pStyle w:val="NormalWeb"/>
        <w:widowControl/>
        <w:jc w:val="both"/>
        <w:rPr/>
      </w:pPr>
      <w:r>
        <w:rPr>
          <w:sz w:val="20"/>
        </w:rPr>
        <w:tab/>
        <w:t xml:space="preserve">“(i) </w:t>
      </w:r>
      <w:r>
        <w:rPr>
          <w:rFonts w:cs="Arial"/>
          <w:sz w:val="20"/>
        </w:rPr>
        <w:t>the Defaulting Party disaffirms, disclaims, repudiates or rejects, in whole or in part, or challenges the validity of, any Transaction or this Agreement;</w:t>
      </w:r>
    </w:p>
    <w:p>
      <w:pPr>
        <w:pStyle w:val="NormalWeb"/>
        <w:widowControl/>
        <w:jc w:val="both"/>
        <w:rPr/>
      </w:pPr>
      <w:r>
        <w:rPr>
          <w:rFonts w:cs="Arial"/>
          <w:sz w:val="20"/>
        </w:rPr>
        <w:tab/>
        <w:t xml:space="preserve">(j)  </w:t>
      </w:r>
      <w:r>
        <w:rPr>
          <w:sz w:val="20"/>
          <w:szCs w:val="20"/>
        </w:rPr>
        <w:t xml:space="preserve">the Defaulting Party consolidates or amalgamates with, or merges into or with, or transfers substantially all of its assets to another entity and either (1) the resulting entity’s creditworthiness is materially weaker than that of the Defaulting Party, or (2) the benefits of any credit support provided pursuant to this Agreement fail to extend to the performance by such resulting entity of its obligation under this Agreement; </w:t>
      </w:r>
    </w:p>
    <w:p>
      <w:pPr>
        <w:pStyle w:val="NormalWeb"/>
        <w:widowControl/>
        <w:ind w:firstLine="720" w:end="0"/>
        <w:jc w:val="both"/>
        <w:rPr>
          <w:b/>
          <w:bCs/>
          <w:sz w:val="20"/>
          <w:szCs w:val="20"/>
          <w:u w:val="single"/>
        </w:rPr>
      </w:pPr>
      <w:r>
        <w:rPr>
          <w:strike/>
          <w:sz w:val="20"/>
          <w:szCs w:val="20"/>
        </w:rPr>
        <w:t>(k</w:t>
      </w:r>
      <w:del w:id="0" w:author="esager" w:date="2002-02-02T13:37:00Z">
        <w:r>
          <w:rPr>
            <w:strike/>
            <w:sz w:val="20"/>
            <w:szCs w:val="20"/>
          </w:rPr>
          <w:delText xml:space="preserve">) </w:delText>
        </w:r>
      </w:del>
      <w:r>
        <w:rPr>
          <w:rFonts w:cs="Arial"/>
          <w:sz w:val="20"/>
        </w:rPr>
        <w:t xml:space="preserve">an event of default occurs (howsoever determined) with respect to the Defaulting Party under any </w:t>
      </w:r>
      <w:r>
        <w:rPr>
          <w:rFonts w:cs="Arial"/>
          <w:sz w:val="20"/>
          <w:szCs w:val="20"/>
        </w:rPr>
        <w:t xml:space="preserve">transaction or agreement between UBS and Party B under any forward contract, swap agreement, in each case as defined in the United States Bankruptcy Code, or any indebtedness for borrowed money, [or commodities contract] and there occurs a liquidation of, an acceleration of obligations under, or an early termination of, all transactions thereunder or the agreement; </w:t>
      </w:r>
    </w:p>
    <w:p>
      <w:pPr>
        <w:pStyle w:val="Normal"/>
        <w:jc w:val="both"/>
        <w:rPr>
          <w:rFonts w:cs="Arial"/>
          <w:sz w:val="20"/>
        </w:rPr>
      </w:pPr>
      <w:r>
        <w:rPr>
          <w:sz w:val="20"/>
          <w:rPrChange w:id="0" w:author="esager" w:date="2002-02-02T13:36:00Z"/>
        </w:rPr>
        <w:t xml:space="preserve"> </w:t>
      </w:r>
      <w:r>
        <w:rPr>
          <w:sz w:val="20"/>
          <w:rPrChange w:id="0" w:author="esager" w:date="2002-02-02T13:36:00Z"/>
        </w:rPr>
        <w:t>(d)</w:t>
      </w:r>
      <w:r>
        <w:rPr>
          <w:b/>
          <w:bCs/>
          <w:sz w:val="20"/>
          <w:rPrChange w:id="0" w:author="esager" w:date="2002-02-02T13:36:00Z"/>
        </w:rPr>
        <w:t xml:space="preserve"> </w:t>
      </w:r>
      <w:r>
        <w:rPr>
          <w:b/>
          <w:bCs/>
          <w:sz w:val="20"/>
          <w:u w:val="single"/>
        </w:rPr>
        <w:t xml:space="preserve">Cross Default.  </w:t>
      </w:r>
      <w:r>
        <w:rPr>
          <w:sz w:val="20"/>
        </w:rPr>
        <w:t>Section 5.1(g) is hereby amended by (i) adding the phrase “</w:t>
      </w:r>
      <w:r>
        <w:rPr>
          <w:rFonts w:cs="Arial"/>
          <w:sz w:val="20"/>
          <w:szCs w:val="22"/>
        </w:rPr>
        <w:t xml:space="preserve">or the payment of money under any forward contract, swap agreement,[or commodities contract], </w:t>
      </w:r>
      <w:r>
        <w:rPr>
          <w:rFonts w:cs="Arial"/>
          <w:sz w:val="20"/>
        </w:rPr>
        <w:t>in each case as defined in the United States Bankruptcy Code,</w:t>
      </w:r>
      <w:r>
        <w:rPr>
          <w:sz w:val="20"/>
        </w:rPr>
        <w:t xml:space="preserve"> ” immediately after the words “indebtedness for borrowed money” in the sixth line and (ii) adding the phrase “or payments of money” after the words “”which results in such indebtedness” in the eighth line and (iii) adding the following proviso after the words “(as specified in the Cover Sheet)” in the last line of Section 5.1(g):</w:t>
      </w:r>
      <w:r>
        <w:rPr>
          <w:rFonts w:cs="Arial"/>
          <w:sz w:val="20"/>
          <w:szCs w:val="22"/>
        </w:rPr>
        <w:t xml:space="preserve"> “provided, an Event of Default shall not occur under item Section 5.1(g)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Web"/>
        <w:widowControl/>
        <w:rPr>
          <w:rFonts w:cs="Arial"/>
          <w:sz w:val="20"/>
          <w:szCs w:val="20"/>
          <w:u w:val="single"/>
        </w:rPr>
      </w:pPr>
      <w:r>
        <w:rPr>
          <w:rFonts w:cs="Arial"/>
          <w:sz w:val="20"/>
          <w:szCs w:val="20"/>
          <w:u w:val="single"/>
        </w:rPr>
      </w:r>
    </w:p>
    <w:p>
      <w:pPr>
        <w:pStyle w:val="NormalWeb"/>
        <w:widowControl/>
        <w:rPr/>
      </w:pPr>
      <w:r>
        <w:rPr>
          <w:sz w:val="20"/>
          <w:szCs w:val="20"/>
        </w:rPr>
        <w:t xml:space="preserve">(e) </w:t>
      </w:r>
      <w:r>
        <w:rPr>
          <w:b/>
          <w:bCs/>
          <w:sz w:val="20"/>
          <w:szCs w:val="20"/>
          <w:u w:val="single"/>
        </w:rPr>
        <w:t xml:space="preserve">Closeout Setoff.  </w:t>
      </w:r>
      <w:r>
        <w:rPr>
          <w:sz w:val="20"/>
          <w:szCs w:val="20"/>
        </w:rPr>
        <w:t>Section 5.6, Option B is hereby amended in its entirety to read as follows:</w:t>
      </w:r>
      <w:r>
        <w:rPr>
          <w:b/>
          <w:bCs/>
          <w:sz w:val="20"/>
          <w:szCs w:val="20"/>
        </w:rPr>
        <w:t xml:space="preserve">  </w:t>
      </w:r>
    </w:p>
    <w:p>
      <w:pPr>
        <w:pStyle w:val="Normal"/>
        <w:jc w:val="both"/>
        <w:rPr/>
      </w:pPr>
      <w:r>
        <w:rPr>
          <w:sz w:val="20"/>
        </w:rPr>
        <w:t xml:space="preserve">Upon the designation of an Early Termination Date the Non-Defaulting party ("X") may, at its option and in its discretion, setoff, against any amounts Owed to the Defaulting Party ("Y") in Dollars or any other currency by X or any Affiliate of X under this </w:t>
      </w:r>
      <w:r>
        <w:rPr>
          <w:strike/>
          <w:sz w:val="20"/>
        </w:rPr>
        <w:t>Traansaction</w:t>
      </w:r>
      <w:r>
        <w:rPr>
          <w:sz w:val="20"/>
        </w:rPr>
        <w:t xml:space="preserve"> Agreement</w:t>
      </w:r>
      <w:r>
        <w:rPr>
          <w:b/>
          <w:bCs/>
          <w:sz w:val="20"/>
          <w:u w:val="single"/>
        </w:rPr>
        <w:t xml:space="preserve"> </w:t>
      </w:r>
      <w:r>
        <w:rPr>
          <w:sz w:val="20"/>
        </w:rPr>
        <w:t>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further acknowledges that it is entering into this Agreement on behalf of itself as principal and, with respect to this Section, as agent on behalf of its Affiliates, which Affiliates shall receive the benefits of this Section and otherwise be bound as if such Affiliates had directly entered into this Agreement as it relates to this Section.</w:t>
      </w:r>
    </w:p>
    <w:p>
      <w:pPr>
        <w:pStyle w:val="Normal"/>
        <w:jc w:val="both"/>
        <w:rPr>
          <w:color w:val="000000"/>
          <w:sz w:val="20"/>
        </w:rPr>
      </w:pPr>
      <w:r>
        <w:rPr>
          <w:color w:val="000000"/>
          <w:sz w:val="20"/>
        </w:rPr>
      </w:r>
    </w:p>
    <w:p>
      <w:pPr>
        <w:pStyle w:val="BodyTextIndent"/>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which are Owed as of the Early Termination Date hereof have been fully and finally satisfied.</w:t>
      </w:r>
    </w:p>
    <w:p>
      <w:pPr>
        <w:pStyle w:val="NormalWeb"/>
        <w:widowControl/>
        <w:rPr/>
      </w:pPr>
      <w:r>
        <w:rPr>
          <w:sz w:val="20"/>
          <w:szCs w:val="20"/>
        </w:rPr>
        <w:t>(f)</w:t>
      </w:r>
      <w:r>
        <w:rPr>
          <w:b/>
          <w:bCs/>
          <w:sz w:val="20"/>
          <w:szCs w:val="20"/>
          <w:u w:val="single"/>
        </w:rPr>
        <w:t xml:space="preserve"> Credit Assurances.  </w:t>
      </w:r>
      <w:r>
        <w:rPr>
          <w:sz w:val="20"/>
          <w:szCs w:val="20"/>
        </w:rPr>
        <w:t>Section 8.1 (b) is hereby amended in its entirety to read as follows:</w:t>
      </w:r>
      <w:r>
        <w:rPr>
          <w:b/>
          <w:bCs/>
          <w:sz w:val="20"/>
          <w:szCs w:val="20"/>
        </w:rPr>
        <w:t xml:space="preserve">  </w:t>
      </w:r>
    </w:p>
    <w:p>
      <w:pPr>
        <w:pStyle w:val="NormalWeb"/>
        <w:widowControl/>
        <w:jc w:val="both"/>
        <w:rPr>
          <w:b/>
          <w:bCs/>
          <w:sz w:val="20"/>
          <w:szCs w:val="20"/>
        </w:rPr>
      </w:pPr>
      <w:r>
        <w:rPr>
          <w:rFonts w:cs="Arial"/>
          <w:sz w:val="20"/>
        </w:rPr>
        <w:t xml:space="preserve">At the written request(s) of UBS delivered on or before 1:00 pm New York time, Party B shall provide any of the following credit support arrangements within three Business Days of such request(s):  (i) a Letter of Credit in respect of Party B’s obligations under this Agreement in a form and for an amount acceptable to UBS in its commercially reasonable discretion, or (ii) a guaranty covering Party B’s obligations under this Agreement in a form, for an amount and from a person or entity, in each case, as is acceptable to UBS in its commercially reasonable discretion, or (iii) lawful currency of the United States of America in respect of Party B’s obligations under this Agreement in an amount acceptable to UBS in its commercially reasonable discretion.  Each Letter of Credit provided by Party B pursuant to this Section 8.1(b) shall be replaced on or before 20 Business Days prior to the expiration thereof.  </w:t>
      </w:r>
      <w:r>
        <w:rPr>
          <w:rFonts w:cs="Arial"/>
          <w:sz w:val="20"/>
          <w:szCs w:val="20"/>
        </w:rPr>
        <w:t xml:space="preserve">It shall be an Event of Default under Section 5.1 of the Master Agreement if </w:t>
      </w:r>
      <w:r>
        <w:rPr>
          <w:rFonts w:cs="Arial"/>
          <w:sz w:val="20"/>
          <w:szCs w:val="22"/>
        </w:rPr>
        <w:t>the issuer of a Letter of Credit provided pursuant this Agreement fails to comply with or perform its obligations under such Letter of Credit if such failure shall be continuing after the lapse of any applicable grace period, or disaffirms, disclaims, repudiates or rejects, in whole or in part, or challenges the validity of, such Letter of Credit, o</w:t>
      </w:r>
      <w:r>
        <w:rPr>
          <w:rFonts w:cs="Arial"/>
          <w:sz w:val="20"/>
          <w:szCs w:val="20"/>
        </w:rPr>
        <w:t>r takes or suffers any actions set forth in Section 5.1(d) as applied to it,</w:t>
      </w:r>
      <w:r>
        <w:rPr>
          <w:rFonts w:cs="Arial"/>
          <w:sz w:val="20"/>
          <w:szCs w:val="22"/>
        </w:rPr>
        <w:t xml:space="preserve"> or such Letter of Credit expires or terminates or fails or ceases to be in full force and effect at any time required to be in effect by UBS, or such issuer fails to maintain the rating level required in the definition of Letter of Credit in the Master Agreement without the Letter of Credit having been replaced by another issuer satisfactory to UBS.</w:t>
      </w:r>
    </w:p>
    <w:p>
      <w:pPr>
        <w:pStyle w:val="BodyText"/>
        <w:jc w:val="both"/>
        <w:rPr>
          <w:b/>
          <w:bCs/>
          <w:sz w:val="20"/>
          <w:szCs w:val="20"/>
        </w:rPr>
      </w:pPr>
      <w:r>
        <w:rPr>
          <w:b/>
          <w:bCs/>
          <w:sz w:val="20"/>
          <w:szCs w:val="20"/>
        </w:rPr>
      </w:r>
    </w:p>
    <w:p>
      <w:pPr>
        <w:pStyle w:val="BodyText"/>
        <w:jc w:val="both"/>
        <w:rPr/>
      </w:pPr>
      <w:r>
        <w:rPr/>
        <w:t xml:space="preserve">(g) </w:t>
      </w:r>
      <w:r>
        <w:rPr>
          <w:b/>
          <w:sz w:val="20"/>
        </w:rPr>
        <w:t>Venue</w:t>
      </w:r>
      <w:r>
        <w:rPr>
          <w:sz w:val="20"/>
        </w:rPr>
        <w:t>.  The following sentence is added as  Section 10.12:</w:t>
      </w:r>
    </w:p>
    <w:p>
      <w:pPr>
        <w:pStyle w:val="NormalWeb"/>
        <w:widowControl/>
        <w:jc w:val="both"/>
        <w:rPr/>
      </w:pPr>
      <w:r>
        <w:rPr>
          <w:sz w:val="20"/>
        </w:rPr>
        <w:t>Each party hereto irrevocably (i) submits to the non-exclusive jurisdiction of the federal and state courts located in the County of New York, State of New York; (ii) waives any objection which it may have to the laying of venue of any proceedings brought in any such court; and (iii) waives any claim that such proceedings have been brought in an inconvenient forum.  Each party waives, to the fullest extent permitted by applicable law, any right it may have to a trial by jury in respect of any suit, action or proceeding relating to this Agreement. (d) Booking</w:t>
      </w:r>
      <w:r>
        <w:rPr>
          <w:b/>
          <w:bCs/>
          <w:sz w:val="20"/>
        </w:rPr>
        <w:t xml:space="preserve"> of Transactions and Payment Netting</w:t>
      </w:r>
      <w:r>
        <w:rPr>
          <w:sz w:val="20"/>
        </w:rPr>
        <w:t>.  The following provision is added as Section 10.13:</w:t>
      </w:r>
    </w:p>
    <w:p>
      <w:pPr>
        <w:pStyle w:val="NormalWeb"/>
        <w:widowControl/>
        <w:jc w:val="both"/>
        <w:rPr/>
      </w:pPr>
      <w:r>
        <w:rPr>
          <w:sz w:val="20"/>
        </w:rPr>
        <w:t xml:space="preserve"> </w:t>
      </w:r>
      <w:r>
        <w:rPr>
          <w:bCs/>
          <w:sz w:val="20"/>
        </w:rPr>
        <w:t>“</w:t>
      </w:r>
      <w:r>
        <w:rPr>
          <w:bCs/>
          <w:sz w:val="20"/>
          <w:szCs w:val="20"/>
        </w:rPr>
        <w:t xml:space="preserve">In entering into a Transaction, UBS will be deemed acting through the branch specified in the long product description on the Website.  Notwithstanding the place of booking office or jurisdiction of incorporation or organization of such branch, the obligations of UBS are the same as if UBS had entered into the Transaction through its head or home office.  Further, notwithstanding anything in the Master Agreement, the obligation to net payments shall apply separately to each branch of UBS in respect of Transactions identifying such branch as the branch through which the Parties make and receive payments"  </w:t>
      </w:r>
    </w:p>
    <w:p>
      <w:pPr>
        <w:pStyle w:val="Normal"/>
        <w:spacing w:before="0" w:after="120"/>
        <w:jc w:val="both"/>
        <w:rPr/>
      </w:pPr>
      <w:r>
        <w:rPr>
          <w:sz w:val="20"/>
        </w:rPr>
        <w:t xml:space="preserve"> </w:t>
      </w:r>
      <w:r>
        <w:rPr>
          <w:sz w:val="20"/>
        </w:rPr>
        <w:t>(e)</w:t>
      </w:r>
      <w:r>
        <w:rPr>
          <w:b/>
          <w:bCs/>
          <w:sz w:val="20"/>
        </w:rPr>
        <w:t xml:space="preserve"> Index Transactions</w:t>
      </w:r>
      <w:r>
        <w:rPr>
          <w:sz w:val="20"/>
        </w:rPr>
        <w:t xml:space="preserve">.  The following provision is added as Section 10.14:  </w:t>
      </w:r>
    </w:p>
    <w:p>
      <w:pPr>
        <w:pStyle w:val="Normal"/>
        <w:numPr>
          <w:ilvl w:val="0"/>
          <w:numId w:val="12"/>
        </w:numPr>
        <w:spacing w:before="0" w:after="120"/>
        <w:jc w:val="both"/>
        <w:rPr>
          <w:sz w:val="20"/>
        </w:rPr>
      </w:pPr>
      <w:r>
        <w:rPr>
          <w:b/>
          <w:bCs/>
          <w:sz w:val="20"/>
        </w:rPr>
        <w:t>Market Disruption</w:t>
      </w:r>
      <w:r>
        <w:rPr>
          <w:sz w:val="20"/>
        </w:rPr>
        <w:t xml:space="preserve">.  If a Market Disruption Event occurs during the Determination Period, the Floating Price for the affected Trading Day(s) shall be determined pursuant to the Floating Price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taking an average of two dealer quotes obtained from dealers of the highest credit standing which satisfy all the criteria that the Seller applies generally at the time in deciding to offer or to make an extension of credit.</w:t>
      </w:r>
    </w:p>
    <w:p>
      <w:pPr>
        <w:pStyle w:val="Normal"/>
        <w:spacing w:before="0" w:after="120"/>
        <w:ind w:start="720" w:end="0"/>
        <w:jc w:val="both"/>
        <w:rPr/>
      </w:pPr>
      <w:r>
        <w:rPr>
          <w:sz w:val="20"/>
        </w:rPr>
        <w:t>"</w:t>
      </w:r>
      <w:r>
        <w:rPr>
          <w:sz w:val="20"/>
          <w:u w:val="single"/>
        </w:rPr>
        <w:t>Determination Period</w:t>
      </w:r>
      <w:r>
        <w:rPr>
          <w:sz w:val="20"/>
        </w:rPr>
        <w:t>" means each calendar month a part or all of which is within the Delivery Period of a Transaction.</w:t>
      </w:r>
    </w:p>
    <w:p>
      <w:pPr>
        <w:pStyle w:val="Normal"/>
        <w:spacing w:before="0" w:after="120"/>
        <w:ind w:start="720" w:end="0"/>
        <w:jc w:val="both"/>
        <w:rPr/>
      </w:pPr>
      <w:r>
        <w:rPr>
          <w:sz w:val="20"/>
        </w:rPr>
        <w:t>“</w:t>
      </w:r>
      <w:r>
        <w:rPr>
          <w:sz w:val="20"/>
          <w:u w:val="single"/>
        </w:rPr>
        <w:t>Exchange</w:t>
      </w:r>
      <w:r>
        <w:rPr>
          <w:sz w:val="20"/>
        </w:rPr>
        <w:t>” means, in respect of a Transaction, the exchange or principal trading market specified in the relevant Transaction.</w:t>
      </w:r>
    </w:p>
    <w:p>
      <w:pPr>
        <w:pStyle w:val="Normal"/>
        <w:spacing w:before="0" w:after="120"/>
        <w:ind w:start="720" w:end="0"/>
        <w:jc w:val="both"/>
        <w:rPr/>
      </w:pPr>
      <w:r>
        <w:rPr>
          <w:sz w:val="20"/>
        </w:rPr>
        <w:t>"</w:t>
      </w:r>
      <w:r>
        <w:rPr>
          <w:sz w:val="20"/>
          <w:u w:val="single"/>
        </w:rPr>
        <w:t>Floating Price</w:t>
      </w:r>
      <w:r>
        <w:rPr>
          <w:sz w:val="20"/>
        </w:rPr>
        <w:t>" means the Contract Price specified in a Transaction that is based upon a Price Source.</w:t>
      </w:r>
    </w:p>
    <w:p>
      <w:pPr>
        <w:pStyle w:val="Normal"/>
        <w:spacing w:before="0" w:after="120"/>
        <w:ind w:start="720" w:end="0"/>
        <w:jc w:val="both"/>
        <w:rPr/>
      </w:pPr>
      <w:r>
        <w:rPr>
          <w:sz w:val="20"/>
        </w:rPr>
        <w:t>"</w:t>
      </w:r>
      <w:r>
        <w:rPr>
          <w:sz w:val="20"/>
          <w:u w:val="single"/>
        </w:rPr>
        <w:t>Market Disruption Event</w:t>
      </w:r>
      <w:r>
        <w:rPr>
          <w:sz w:val="20"/>
        </w:rPr>
        <w:t>" means, with respect to any Price Source, any of the following events:  (a) the failure of the Price Source to announce or publish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pPr>
        <w:pStyle w:val="Normal"/>
        <w:spacing w:before="0" w:after="120"/>
        <w:ind w:start="720" w:end="0"/>
        <w:jc w:val="both"/>
        <w:rPr>
          <w:bCs/>
          <w:sz w:val="20"/>
        </w:rPr>
      </w:pPr>
      <w:r>
        <w:rPr>
          <w:sz w:val="20"/>
        </w:rPr>
        <w:t>"</w:t>
      </w:r>
      <w:r>
        <w:rPr>
          <w:sz w:val="20"/>
          <w:u w:val="single"/>
        </w:rPr>
        <w:t>Price Source</w:t>
      </w:r>
      <w:r>
        <w:rPr>
          <w:sz w:val="20"/>
        </w:rPr>
        <w:t>" means, in respect of a Transaction, the publication (or such other origin of reference, including an Exchange) containing (or reporting) the specified price (or prices from which the specified price is calculated) specified in the relevant Transaction.</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Floating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sz w:val="20"/>
        </w:rPr>
      </w:pP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p>
    <w:p>
      <w:pPr>
        <w:pStyle w:val="Signature-dbl"/>
        <w:jc w:val="both"/>
        <w:rPr>
          <w:sz w:val="20"/>
        </w:rPr>
      </w:pPr>
      <w:r>
        <w:rPr>
          <w:sz w:val="20"/>
        </w:rPr>
        <w:t>The following definitions are hereby added to Schedule P:</w:t>
      </w:r>
    </w:p>
    <w:p>
      <w:pPr>
        <w:pStyle w:val="BodyText2"/>
        <w:spacing w:lineRule="auto" w:line="240"/>
        <w:jc w:val="both"/>
        <w:rPr>
          <w:sz w:val="20"/>
          <w:szCs w:val="18"/>
        </w:rPr>
      </w:pPr>
      <w:r>
        <w:rPr>
          <w:sz w:val="20"/>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spacing w:lineRule="auto" w:line="240"/>
        <w:jc w:val="both"/>
        <w:rPr>
          <w:sz w:val="20"/>
          <w:szCs w:val="18"/>
        </w:rPr>
      </w:pPr>
      <w:r>
        <w:rPr>
          <w:sz w:val="20"/>
          <w:szCs w:val="18"/>
        </w:rPr>
      </w:r>
    </w:p>
    <w:p>
      <w:pPr>
        <w:pStyle w:val="BodyText2"/>
        <w:spacing w:lineRule="auto" w:line="240"/>
        <w:jc w:val="both"/>
        <w:rPr>
          <w:sz w:val="20"/>
        </w:rPr>
      </w:pPr>
      <w:r>
        <w:rPr>
          <w:sz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spacing w:lineRule="auto" w:line="240"/>
        <w:jc w:val="both"/>
        <w:rPr>
          <w:sz w:val="20"/>
        </w:rPr>
      </w:pPr>
      <w:r>
        <w:rPr>
          <w:sz w:val="20"/>
        </w:rPr>
      </w:r>
    </w:p>
    <w:p>
      <w:pPr>
        <w:pStyle w:val="BodyText2"/>
        <w:spacing w:lineRule="auto" w:line="240"/>
        <w:jc w:val="both"/>
        <w:rPr>
          <w:sz w:val="20"/>
        </w:rPr>
      </w:pPr>
      <w:r>
        <w:rPr>
          <w:sz w:val="20"/>
        </w:rPr>
        <w:t>"WSCC" means the Western Systems Coordinating Council.</w:t>
      </w:r>
    </w:p>
    <w:p>
      <w:pPr>
        <w:pStyle w:val="BodyText2"/>
        <w:spacing w:lineRule="auto" w:line="240"/>
        <w:jc w:val="both"/>
        <w:rPr>
          <w:sz w:val="20"/>
        </w:rPr>
      </w:pPr>
      <w:r>
        <w:rPr>
          <w:sz w:val="20"/>
        </w:rPr>
      </w:r>
    </w:p>
    <w:p>
      <w:pPr>
        <w:pStyle w:val="coverbody"/>
        <w:spacing w:before="0" w:after="120"/>
        <w:rPr>
          <w:szCs w:val="24"/>
        </w:rPr>
      </w:pPr>
      <w:r>
        <w:rPr>
          <w:szCs w:val="24"/>
        </w:rPr>
        <w:t>"WSPP Agreement" means the Western Systems Power Pool Agreement as amended from time to time.</w:t>
      </w:r>
    </w:p>
    <w:p>
      <w:pPr>
        <w:pStyle w:val="Normal"/>
        <w:rPr>
          <w:b/>
          <w:bCs/>
          <w:sz w:val="20"/>
        </w:rPr>
      </w:pPr>
      <w:r>
        <w:rPr>
          <w:b/>
          <w:bCs/>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r>
        <w:br w:type="page"/>
      </w:r>
    </w:p>
    <w:p>
      <w:pPr>
        <w:pStyle w:val="EnvelopeReturn"/>
        <w:rPr>
          <w:b/>
          <w:bCs/>
          <w:sz w:val="20"/>
        </w:rPr>
      </w:pPr>
      <w:r>
        <w:rPr>
          <w:b/>
          <w:bCs/>
          <w:sz w:val="20"/>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p>
    <w:p>
      <w:pPr>
        <w:sectPr>
          <w:footerReference w:type="default" r:id="rId10"/>
          <w:footerReference w:type="first" r:id="rId11"/>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Heading"/>
        <w:rPr/>
      </w:pPr>
      <w:r>
        <w:rPr/>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12"/>
          <w:footerReference w:type="first" r:id="rId13"/>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[Party B]</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14"/>
          <w:footerReference w:type="first" r:id="rId15"/>
          <w:footnotePr>
            <w:numFmt w:val="decimal"/>
          </w:footnotePr>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spacing w:before="0" w:after="280"/>
        <w:rPr>
          <w:bCs/>
        </w:rPr>
      </w:pPr>
      <w:r>
        <w:rPr>
          <w:bCs/>
        </w:rPr>
      </w:r>
    </w:p>
    <w:sectPr>
      <w:headerReference w:type="default" r:id="rId16"/>
      <w:footerReference w:type="default" r:id="rId17"/>
      <w:footerReference w:type="first" r:id="rId18"/>
      <w:footnotePr>
        <w:numFmt w:val="decimal"/>
      </w:footnotePr>
      <w:type w:val="nextPage"/>
      <w:pgSz w:w="12240" w:h="15840"/>
      <w:pgMar w:left="1440" w:right="1440" w:gutter="0" w:header="72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M-</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style>
  <w:style w:type="character" w:styleId="WW8Num18z0">
    <w:name w:val="WW8Num18z0"/>
    <w:qFormat/>
    <w:rPr>
      <w:b/>
      <w:sz w:val="22"/>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b w:val="false"/>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jc w:val="both"/>
    </w:pPr>
    <w:rPr>
      <w:rFonts w:cs="Arial"/>
      <w:sz w:val="20"/>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spacing w:before="0" w:after="120"/>
      <w:ind w:hanging="720" w:start="720" w:end="0"/>
      <w:jc w:val="both"/>
    </w:pPr>
    <w:rPr>
      <w:sz w:val="20"/>
    </w:rPr>
  </w:style>
  <w:style w:type="paragraph" w:styleId="NormalWeb">
    <w:name w:val="Normal (Web)"/>
    <w:basedOn w:val="Normal"/>
    <w:qFormat/>
    <w:pPr>
      <w:widowControl w:val="false"/>
      <w:autoSpaceDE w:val="false"/>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header" Target="header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2002-02-02T16:01:00Z</dcterms:created>
  <dc:creator>WordProcessing</dc:creator>
  <dc:description/>
  <dc:language>en-CA</dc:language>
  <cp:lastModifiedBy>esager</cp:lastModifiedBy>
  <cp:lastPrinted>2002-02-02T13:39:00Z</cp:lastPrinted>
  <dcterms:modified xsi:type="dcterms:W3CDTF">2002-02-02T17:09:00Z</dcterms:modified>
  <cp:revision>3</cp:revision>
  <dc:subject/>
  <dc:title>  </dc:title>
</cp:coreProperties>
</file>