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b/>
          <w:spacing w:val="-3"/>
          <w:sz w:val="20"/>
          <w:lang w:val="en-US"/>
        </w:rPr>
      </w:pPr>
      <w:r>
        <w:rPr>
          <w:b/>
          <w:spacing w:val="-3"/>
          <w:sz w:val="20"/>
          <w:lang w:val="en-US"/>
        </w:rPr>
        <w:tab/>
        <w:t>[ISDA CREDIT SUPPORT ANNEX - ONE WAY]</w:t>
      </w:r>
    </w:p>
    <w:p>
      <w:pPr>
        <w:pStyle w:val="Normal"/>
        <w:tabs>
          <w:tab w:val="clear" w:pos="720"/>
          <w:tab w:val="center" w:pos="4680" w:leader="none"/>
        </w:tabs>
        <w:suppressAutoHyphens w:val="true"/>
        <w:jc w:val="both"/>
        <w:rPr>
          <w:b/>
          <w:spacing w:val="-3"/>
          <w:sz w:val="20"/>
          <w:lang w:val="en-US"/>
        </w:rPr>
      </w:pPr>
      <w:r>
        <w:rPr>
          <w:b/>
          <w:spacing w:val="-3"/>
          <w:sz w:val="20"/>
          <w:lang w:val="en-US"/>
        </w:rPr>
      </w:r>
    </w:p>
    <w:p>
      <w:pPr>
        <w:pStyle w:val="Normal"/>
        <w:tabs>
          <w:tab w:val="clear" w:pos="720"/>
          <w:tab w:val="center" w:pos="4680" w:leader="none"/>
        </w:tabs>
        <w:suppressAutoHyphens w:val="true"/>
        <w:jc w:val="both"/>
        <w:rPr>
          <w:b/>
          <w:spacing w:val="-3"/>
          <w:sz w:val="20"/>
          <w:u w:val="single"/>
          <w:lang w:val="en-US"/>
        </w:rPr>
      </w:pPr>
      <w:r>
        <w:rPr>
          <w:b/>
          <w:spacing w:val="-3"/>
          <w:sz w:val="20"/>
          <w:lang w:val="en-US"/>
        </w:rPr>
        <w:tab/>
        <w:tab/>
        <w:tab/>
        <w:tab/>
      </w:r>
    </w:p>
    <w:p>
      <w:pPr>
        <w:pStyle w:val="Normal"/>
        <w:tabs>
          <w:tab w:val="clear" w:pos="720"/>
          <w:tab w:val="center" w:pos="4680" w:leader="none"/>
        </w:tabs>
        <w:suppressAutoHyphens w:val="true"/>
        <w:jc w:val="center"/>
        <w:rPr>
          <w:b/>
          <w:spacing w:val="-3"/>
          <w:sz w:val="20"/>
          <w:lang w:val="en-US"/>
        </w:rPr>
      </w:pPr>
      <w:r>
        <w:rPr>
          <w:b/>
          <w:spacing w:val="-3"/>
          <w:sz w:val="20"/>
          <w:lang w:val="en-US"/>
        </w:rPr>
        <w:t>ISDA</w:t>
      </w:r>
    </w:p>
    <w:p>
      <w:pPr>
        <w:pStyle w:val="Normal"/>
        <w:tabs>
          <w:tab w:val="clear" w:pos="720"/>
          <w:tab w:val="center" w:pos="4680" w:leader="none"/>
        </w:tabs>
        <w:suppressAutoHyphens w:val="true"/>
        <w:jc w:val="center"/>
        <w:rPr>
          <w:b/>
          <w:spacing w:val="-3"/>
          <w:sz w:val="20"/>
          <w:lang w:val="en-US"/>
        </w:rPr>
      </w:pPr>
      <w:r>
        <w:rPr>
          <w:b/>
          <w:spacing w:val="-3"/>
          <w:sz w:val="20"/>
          <w:lang w:val="en-US"/>
        </w:rPr>
        <w:t>CREDIT SUPPORT ANNEX</w:t>
      </w:r>
    </w:p>
    <w:p>
      <w:pPr>
        <w:pStyle w:val="Normal"/>
        <w:tabs>
          <w:tab w:val="clear" w:pos="720"/>
          <w:tab w:val="center" w:pos="4680" w:leader="none"/>
        </w:tabs>
        <w:suppressAutoHyphens w:val="true"/>
        <w:jc w:val="center"/>
        <w:rPr>
          <w:b/>
          <w:spacing w:val="-3"/>
          <w:sz w:val="20"/>
          <w:lang w:val="en-US"/>
        </w:rPr>
      </w:pPr>
      <w:r>
        <w:rPr>
          <w:b/>
          <w:spacing w:val="-3"/>
          <w:sz w:val="20"/>
          <w:lang w:val="en-US"/>
        </w:rPr>
        <w:t xml:space="preserve">to the Schedule </w:t>
      </w:r>
    </w:p>
    <w:p>
      <w:pPr>
        <w:pStyle w:val="Normal"/>
        <w:tabs>
          <w:tab w:val="clear" w:pos="720"/>
          <w:tab w:val="center" w:pos="4680" w:leader="none"/>
        </w:tabs>
        <w:suppressAutoHyphens w:val="true"/>
        <w:jc w:val="center"/>
        <w:rPr>
          <w:b/>
          <w:spacing w:val="-3"/>
          <w:sz w:val="20"/>
          <w:lang w:val="en-US"/>
        </w:rPr>
      </w:pPr>
      <w:r>
        <w:rPr>
          <w:b/>
          <w:spacing w:val="-3"/>
          <w:sz w:val="20"/>
          <w:lang w:val="en-US"/>
        </w:rPr>
        <w:t>to the Master Agreement</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dated  as of ____________, 2002</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between</w:t>
      </w:r>
    </w:p>
    <w:p>
      <w:pPr>
        <w:pStyle w:val="Normal"/>
        <w:tabs>
          <w:tab w:val="clear" w:pos="720"/>
          <w:tab w:val="center" w:pos="4680" w:leader="none"/>
        </w:tabs>
        <w:suppressAutoHyphens w:val="true"/>
        <w:jc w:val="both"/>
        <w:rPr>
          <w:b/>
          <w:spacing w:val="-3"/>
          <w:sz w:val="20"/>
          <w:lang w:val="en-US"/>
        </w:rPr>
      </w:pPr>
      <w:r>
        <w:rPr>
          <w:b/>
          <w:spacing w:val="-3"/>
          <w:sz w:val="20"/>
          <w:lang w:val="en-US"/>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center" w:pos="4680" w:leader="none"/>
              </w:tabs>
              <w:suppressAutoHyphens w:val="true"/>
              <w:jc w:val="both"/>
              <w:rPr>
                <w:b/>
                <w:spacing w:val="-3"/>
                <w:sz w:val="20"/>
                <w:lang w:val="en-US"/>
              </w:rPr>
            </w:pPr>
            <w:r>
              <w:rPr>
                <w:b/>
                <w:spacing w:val="-3"/>
                <w:sz w:val="20"/>
                <w:lang w:val="en-US"/>
              </w:rPr>
              <w:t>UBS AG</w:t>
            </w:r>
          </w:p>
          <w:p>
            <w:pPr>
              <w:pStyle w:val="Normal"/>
              <w:tabs>
                <w:tab w:val="clear" w:pos="720"/>
                <w:tab w:val="center" w:pos="4680" w:leader="none"/>
              </w:tabs>
              <w:suppressAutoHyphens w:val="true"/>
              <w:jc w:val="both"/>
              <w:rPr>
                <w:b/>
                <w:spacing w:val="-3"/>
                <w:sz w:val="20"/>
                <w:lang w:val="en-US"/>
              </w:rPr>
            </w:pPr>
            <w:r>
              <w:rPr>
                <w:b/>
                <w:spacing w:val="-3"/>
                <w:sz w:val="20"/>
                <w:lang w:val="en-US"/>
              </w:rPr>
              <w:t>(Party A)</w:t>
            </w:r>
          </w:p>
          <w:p>
            <w:pPr>
              <w:pStyle w:val="Normal"/>
              <w:tabs>
                <w:tab w:val="clear" w:pos="720"/>
                <w:tab w:val="center" w:pos="4680" w:leader="none"/>
              </w:tabs>
              <w:suppressAutoHyphens w:val="true"/>
              <w:jc w:val="both"/>
              <w:rPr>
                <w:b/>
                <w:spacing w:val="-3"/>
                <w:sz w:val="20"/>
                <w:lang w:val="en-US"/>
              </w:rPr>
            </w:pPr>
            <w:r>
              <w:rPr>
                <w:b/>
                <w:spacing w:val="-3"/>
                <w:sz w:val="20"/>
                <w:lang w:val="en-US"/>
              </w:rPr>
            </w:r>
          </w:p>
          <w:p>
            <w:pPr>
              <w:pStyle w:val="Normal"/>
              <w:tabs>
                <w:tab w:val="clear" w:pos="720"/>
                <w:tab w:val="center" w:pos="4680" w:leader="none"/>
              </w:tabs>
              <w:suppressAutoHyphens w:val="true"/>
              <w:jc w:val="both"/>
              <w:rPr>
                <w:b/>
                <w:spacing w:val="-3"/>
                <w:sz w:val="20"/>
                <w:lang w:val="en-US"/>
              </w:rPr>
            </w:pPr>
            <w:r>
              <w:rPr>
                <w:b/>
                <w:spacing w:val="-3"/>
                <w:sz w:val="20"/>
                <w:lang w:val="en-US"/>
              </w:rPr>
            </w:r>
          </w:p>
        </w:tc>
        <w:tc>
          <w:tcPr>
            <w:tcW w:w="3192" w:type="dxa"/>
            <w:tcBorders/>
          </w:tcPr>
          <w:p>
            <w:pPr>
              <w:pStyle w:val="Normal"/>
              <w:tabs>
                <w:tab w:val="clear" w:pos="720"/>
                <w:tab w:val="center" w:pos="4680" w:leader="none"/>
              </w:tabs>
              <w:suppressAutoHyphens w:val="true"/>
              <w:jc w:val="center"/>
              <w:rPr>
                <w:b/>
                <w:spacing w:val="-3"/>
                <w:sz w:val="20"/>
                <w:lang w:val="en-US"/>
              </w:rPr>
            </w:pPr>
            <w:r>
              <w:rPr>
                <w:b/>
                <w:spacing w:val="-3"/>
                <w:sz w:val="20"/>
                <w:lang w:val="en-US"/>
              </w:rPr>
              <w:t>and</w:t>
            </w:r>
          </w:p>
        </w:tc>
        <w:tc>
          <w:tcPr>
            <w:tcW w:w="3192" w:type="dxa"/>
            <w:tcBorders/>
          </w:tcPr>
          <w:p>
            <w:pPr>
              <w:pStyle w:val="BodyText"/>
              <w:jc w:val="start"/>
              <w:rPr/>
            </w:pPr>
            <w:r>
              <w:rPr/>
              <w:t>[COUNTERPARTY]</w:t>
            </w:r>
          </w:p>
          <w:p>
            <w:pPr>
              <w:pStyle w:val="Normal"/>
              <w:tabs>
                <w:tab w:val="clear" w:pos="720"/>
                <w:tab w:val="center" w:pos="4680" w:leader="none"/>
              </w:tabs>
              <w:suppressAutoHyphens w:val="true"/>
              <w:jc w:val="both"/>
              <w:rPr>
                <w:b/>
                <w:spacing w:val="-3"/>
                <w:sz w:val="20"/>
                <w:lang w:val="en-US"/>
              </w:rPr>
            </w:pPr>
            <w:r>
              <w:rPr>
                <w:b/>
                <w:spacing w:val="-3"/>
                <w:sz w:val="20"/>
                <w:lang w:val="en-US"/>
              </w:rPr>
              <w:t>(Party B)</w:t>
            </w:r>
          </w:p>
        </w:tc>
      </w:tr>
    </w:tbl>
    <w:p>
      <w:pPr>
        <w:pStyle w:val="Normal"/>
        <w:tabs>
          <w:tab w:val="clear" w:pos="720"/>
          <w:tab w:val="center" w:pos="4680" w:leader="none"/>
        </w:tabs>
        <w:suppressAutoHyphens w:val="true"/>
        <w:jc w:val="both"/>
        <w:rPr>
          <w:spacing w:val="-3"/>
          <w:sz w:val="20"/>
          <w:lang w:val="en-US"/>
        </w:rPr>
      </w:pPr>
      <w:r>
        <w:rPr>
          <w:spacing w:val="-3"/>
          <w:sz w:val="20"/>
          <w:lang w:val="en-US"/>
        </w:rPr>
      </w:r>
    </w:p>
    <w:p>
      <w:pPr>
        <w:pStyle w:val="Normal"/>
        <w:tabs>
          <w:tab w:val="clear" w:pos="720"/>
          <w:tab w:val="left" w:pos="-720" w:leader="none"/>
        </w:tabs>
        <w:suppressAutoHyphens w:val="true"/>
        <w:jc w:val="both"/>
        <w:rPr>
          <w:spacing w:val="-2"/>
          <w:sz w:val="20"/>
          <w:lang w:val="en-US"/>
        </w:rPr>
      </w:pPr>
      <w:r>
        <w:rPr>
          <w:b/>
          <w:spacing w:val="-2"/>
          <w:sz w:val="20"/>
          <w:lang w:val="en-US"/>
        </w:rPr>
        <w:t>Paragraph 13.  Elections and Variables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(a)</w:t>
      </w:r>
      <w:r>
        <w:rPr>
          <w:b/>
          <w:i/>
          <w:spacing w:val="-2"/>
          <w:sz w:val="20"/>
          <w:lang w:val="en-US"/>
        </w:rPr>
        <w:tab/>
        <w:t>Security Interest for "Obligations."</w:t>
      </w:r>
      <w:r>
        <w:rPr>
          <w:spacing w:val="-2"/>
          <w:sz w:val="20"/>
          <w:lang w:val="en-US"/>
        </w:rPr>
        <w:t xml:space="preserve">  The term</w:t>
      </w:r>
      <w:r>
        <w:rPr>
          <w:i/>
          <w:spacing w:val="-2"/>
          <w:sz w:val="20"/>
          <w:lang w:val="en-US"/>
        </w:rPr>
        <w:t xml:space="preserve"> </w:t>
      </w:r>
      <w:r>
        <w:rPr>
          <w:b/>
          <w:i/>
          <w:spacing w:val="-2"/>
          <w:sz w:val="20"/>
          <w:lang w:val="en-US"/>
        </w:rPr>
        <w:t>"Obligations"</w:t>
      </w:r>
      <w:r>
        <w:rPr>
          <w:spacing w:val="-2"/>
          <w:sz w:val="20"/>
          <w:lang w:val="en-US"/>
        </w:rPr>
        <w:t xml:space="preserve"> as used in this Annex includes the following additional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A:</w:t>
        <w:tab/>
        <w:t>None</w:t>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B:</w:t>
        <w:tab/>
        <w:t>None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spacing w:val="-2"/>
          <w:sz w:val="20"/>
          <w:lang w:val="en-US"/>
        </w:rPr>
      </w:pPr>
      <w:r>
        <w:rPr>
          <w:spacing w:val="-2"/>
          <w:sz w:val="20"/>
          <w:lang w:val="en-US"/>
        </w:rPr>
        <w:t>(b)</w:t>
      </w:r>
      <w:r>
        <w:rPr>
          <w:b/>
          <w:i/>
          <w:spacing w:val="-2"/>
          <w:sz w:val="20"/>
          <w:lang w:val="en-US"/>
        </w:rPr>
        <w:tab/>
        <w:t>Credit Support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(i)</w:t>
      </w:r>
      <w:r>
        <w:rPr>
          <w:b/>
          <w:i/>
          <w:spacing w:val="-2"/>
          <w:sz w:val="20"/>
          <w:lang w:val="en-US"/>
        </w:rPr>
        <w:tab/>
        <w:t>Delivery Amount, Return Amount and Credit Support Amount.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2"/>
        </w:numPr>
        <w:tabs>
          <w:tab w:val="left" w:pos="-720" w:leader="none"/>
          <w:tab w:val="left" w:pos="0" w:leader="none"/>
          <w:tab w:val="left" w:pos="720" w:leader="none"/>
          <w:tab w:val="left" w:pos="1440" w:leader="none"/>
        </w:tabs>
        <w:suppressAutoHyphens w:val="true"/>
        <w:jc w:val="both"/>
        <w:rPr>
          <w:spacing w:val="-2"/>
          <w:sz w:val="20"/>
          <w:lang w:val="en-US"/>
        </w:rPr>
      </w:pPr>
      <w:r>
        <w:rPr>
          <w:b/>
          <w:spacing w:val="-2"/>
          <w:sz w:val="20"/>
          <w:lang w:val="en-US"/>
        </w:rPr>
        <w:t>"</w:t>
      </w:r>
      <w:r>
        <w:rPr>
          <w:b/>
          <w:i/>
          <w:spacing w:val="-2"/>
          <w:sz w:val="20"/>
          <w:lang w:val="en-US"/>
        </w:rPr>
        <w:t>Delivery Amount"</w:t>
      </w:r>
      <w:r>
        <w:rPr>
          <w:spacing w:val="-2"/>
          <w:sz w:val="20"/>
          <w:lang w:val="en-US"/>
        </w:rPr>
        <w:t xml:space="preserve"> has the meaning specified in Paragraph 3(a). </w:t>
      </w:r>
    </w:p>
    <w:p>
      <w:pPr>
        <w:pStyle w:val="Normal"/>
        <w:tabs>
          <w:tab w:val="left" w:pos="-720" w:leader="none"/>
          <w:tab w:val="left" w:pos="0" w:leader="none"/>
          <w:tab w:val="left" w:pos="720" w:leader="none"/>
          <w:tab w:val="left" w:pos="1440" w:leader="none"/>
        </w:tabs>
        <w:suppressAutoHyphens w:val="true"/>
        <w:ind w:start="1440" w:end="0"/>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spacing w:val="-2"/>
          <w:sz w:val="20"/>
          <w:lang w:val="en-US"/>
        </w:rPr>
        <w:tab/>
        <w:tab/>
        <w:t>(B)</w:t>
      </w:r>
      <w:r>
        <w:rPr>
          <w:b/>
          <w:i/>
          <w:spacing w:val="-2"/>
          <w:sz w:val="20"/>
          <w:lang w:val="en-US"/>
        </w:rPr>
        <w:tab/>
        <w:t>"Return Amount"</w:t>
      </w:r>
      <w:r>
        <w:rPr>
          <w:spacing w:val="-2"/>
          <w:sz w:val="20"/>
          <w:lang w:val="en-US"/>
        </w:rPr>
        <w:t xml:space="preserve"> has the meaning specified in Paragraph 3(b). </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(C)</w:t>
      </w:r>
      <w:r>
        <w:rPr>
          <w:b/>
          <w:i/>
          <w:spacing w:val="-2"/>
          <w:sz w:val="20"/>
          <w:lang w:val="en-US"/>
        </w:rPr>
        <w:tab/>
        <w:t>"Credit Support Amount"</w:t>
      </w:r>
      <w:r>
        <w:rPr>
          <w:spacing w:val="-2"/>
          <w:sz w:val="20"/>
          <w:lang w:val="en-US"/>
        </w:rPr>
        <w:t xml:space="preserve"> has the meaning specified in Paragraph 3.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Eligible Collateral</w:t>
      </w:r>
      <w:r>
        <w:rPr>
          <w:spacing w:val="-2"/>
          <w:sz w:val="20"/>
          <w:lang w:val="en-US"/>
        </w:rPr>
        <w:t>.  The following items will qualify as "</w:t>
      </w:r>
      <w:r>
        <w:rPr>
          <w:b/>
          <w:i/>
          <w:spacing w:val="-2"/>
          <w:sz w:val="20"/>
          <w:lang w:val="en-US"/>
        </w:rPr>
        <w:t>Eligible Collateral"</w:t>
      </w:r>
      <w:r>
        <w:rPr>
          <w:spacing w:val="-2"/>
          <w:sz w:val="20"/>
          <w:lang w:val="en-US"/>
        </w:rPr>
        <w:t xml:space="preserve"> for the party specified:</w:t>
      </w:r>
    </w:p>
    <w:tbl>
      <w:tblPr>
        <w:tblW w:w="9560" w:type="dxa"/>
        <w:jc w:val="start"/>
        <w:tblInd w:w="0" w:type="dxa"/>
        <w:tblLayout w:type="fixed"/>
        <w:tblCellMar>
          <w:top w:w="0" w:type="dxa"/>
          <w:start w:w="40" w:type="dxa"/>
          <w:bottom w:w="0" w:type="dxa"/>
          <w:end w:w="40" w:type="dxa"/>
        </w:tblCellMar>
      </w:tblPr>
      <w:tblGrid>
        <w:gridCol w:w="599"/>
        <w:gridCol w:w="5421"/>
        <w:gridCol w:w="1299"/>
        <w:gridCol w:w="911"/>
        <w:gridCol w:w="1330"/>
      </w:tblGrid>
      <w:tr>
        <w:trPr/>
        <w:tc>
          <w:tcPr>
            <w:tcW w:w="599" w:type="dxa"/>
            <w:tcBorders/>
          </w:tcPr>
          <w:p>
            <w:pPr>
              <w:pStyle w:val="Normal"/>
              <w:keepNext w:val="true"/>
              <w:keepLines/>
              <w:tabs>
                <w:tab w:val="clear" w:pos="720"/>
                <w:tab w:val="left" w:pos="-720" w:leader="none"/>
              </w:tabs>
              <w:suppressAutoHyphens w:val="true"/>
              <w:snapToGrid w:val="false"/>
              <w:ind w:end="39"/>
              <w:jc w:val="both"/>
              <w:rPr>
                <w:spacing w:val="-2"/>
                <w:sz w:val="20"/>
                <w:lang w:val="en-US"/>
              </w:rPr>
            </w:pPr>
            <w:r>
              <w:rPr>
                <w:spacing w:val="-2"/>
                <w:sz w:val="20"/>
                <w:lang w:val="en-US"/>
              </w:rPr>
            </w:r>
          </w:p>
        </w:tc>
        <w:tc>
          <w:tcPr>
            <w:tcW w:w="5421" w:type="dxa"/>
            <w:tcBorders/>
          </w:tcPr>
          <w:p>
            <w:pPr>
              <w:pStyle w:val="Normal"/>
              <w:keepNext w:val="true"/>
              <w:keepLines/>
              <w:tabs>
                <w:tab w:val="clear" w:pos="720"/>
                <w:tab w:val="left" w:pos="-720" w:leader="none"/>
              </w:tabs>
              <w:suppressAutoHyphens w:val="true"/>
              <w:snapToGrid w:val="false"/>
              <w:ind w:start="40" w:end="460"/>
              <w:jc w:val="both"/>
              <w:rPr>
                <w:spacing w:val="-2"/>
                <w:sz w:val="20"/>
                <w:lang w:val="en-US"/>
              </w:rPr>
            </w:pPr>
            <w:r>
              <w:rPr>
                <w:spacing w:val="-2"/>
                <w:sz w:val="20"/>
                <w:lang w:val="en-US"/>
              </w:rPr>
            </w:r>
          </w:p>
        </w:tc>
        <w:tc>
          <w:tcPr>
            <w:tcW w:w="1299" w:type="dxa"/>
            <w:tcBorders/>
          </w:tcPr>
          <w:p>
            <w:pPr>
              <w:pStyle w:val="Normal"/>
              <w:keepNext w:val="true"/>
              <w:keepLines/>
              <w:tabs>
                <w:tab w:val="clear" w:pos="720"/>
                <w:tab w:val="left" w:pos="-720" w:leader="none"/>
              </w:tabs>
              <w:suppressAutoHyphens w:val="true"/>
              <w:snapToGrid w:val="false"/>
              <w:ind w:start="460"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460" w:end="0"/>
              <w:jc w:val="both"/>
              <w:rPr>
                <w:spacing w:val="-2"/>
                <w:sz w:val="20"/>
                <w:lang w:val="en-US"/>
              </w:rPr>
            </w:pPr>
            <w:r>
              <w:rPr>
                <w:b/>
                <w:spacing w:val="-2"/>
                <w:sz w:val="20"/>
                <w:u w:val="single"/>
                <w:lang w:val="en-US"/>
              </w:rPr>
              <w:t>Party A</w:t>
            </w:r>
          </w:p>
        </w:tc>
        <w:tc>
          <w:tcPr>
            <w:tcW w:w="911" w:type="dxa"/>
            <w:tcBorders/>
          </w:tcPr>
          <w:p>
            <w:pPr>
              <w:pStyle w:val="Normal"/>
              <w:keepNext w:val="true"/>
              <w:keepLines/>
              <w:tabs>
                <w:tab w:val="clear" w:pos="720"/>
                <w:tab w:val="left" w:pos="-720" w:leader="none"/>
              </w:tabs>
              <w:suppressAutoHyphens w:val="true"/>
              <w:snapToGrid w:val="false"/>
              <w:ind w:end="5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50"/>
              <w:jc w:val="both"/>
              <w:rPr>
                <w:spacing w:val="-2"/>
                <w:sz w:val="20"/>
                <w:lang w:val="en-US"/>
              </w:rPr>
            </w:pPr>
            <w:r>
              <w:rPr>
                <w:b/>
                <w:spacing w:val="-2"/>
                <w:sz w:val="20"/>
                <w:u w:val="single"/>
                <w:lang w:val="en-US"/>
              </w:rPr>
              <w:t>Party B</w:t>
            </w:r>
          </w:p>
        </w:tc>
        <w:tc>
          <w:tcPr>
            <w:tcW w:w="1330" w:type="dxa"/>
            <w:tcBorders/>
          </w:tcPr>
          <w:p>
            <w:pPr>
              <w:pStyle w:val="Normal"/>
              <w:keepLines/>
              <w:tabs>
                <w:tab w:val="clear" w:pos="720"/>
                <w:tab w:val="left" w:pos="-720" w:leader="none"/>
              </w:tabs>
              <w:suppressAutoHyphens w:val="true"/>
              <w:ind w:start="50" w:end="0"/>
              <w:jc w:val="both"/>
              <w:rPr>
                <w:spacing w:val="-2"/>
                <w:sz w:val="20"/>
                <w:u w:val="single"/>
                <w:lang w:val="en-US"/>
              </w:rPr>
            </w:pPr>
            <w:r>
              <w:rPr>
                <w:b/>
                <w:spacing w:val="-2"/>
                <w:sz w:val="20"/>
                <w:lang w:val="en-US"/>
              </w:rPr>
              <w:t xml:space="preserve">Valuation </w:t>
            </w:r>
            <w:r>
              <w:rPr>
                <w:b/>
                <w:spacing w:val="-2"/>
                <w:sz w:val="20"/>
                <w:u w:val="single"/>
                <w:lang w:val="en-US"/>
              </w:rPr>
              <w:t>Percentage</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rFonts w:eastAsia="Helvetica"/>
                <w:spacing w:val="-2"/>
                <w:sz w:val="20"/>
                <w:lang w:val="en-US"/>
              </w:rPr>
              <w:t xml:space="preserve"> </w:t>
            </w:r>
            <w:r>
              <w:rPr>
                <w:spacing w:val="-2"/>
                <w:sz w:val="20"/>
                <w:lang w:val="en-US"/>
              </w:rPr>
              <w:t>(A)</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Cash</w:t>
            </w:r>
          </w:p>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t>100%</w:t>
            </w:r>
          </w:p>
        </w:tc>
      </w:tr>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rFonts w:eastAsia="Helvetica"/>
                <w:spacing w:val="-2"/>
                <w:sz w:val="20"/>
                <w:lang w:val="en-US"/>
              </w:rPr>
              <w:t xml:space="preserve"> </w:t>
            </w:r>
            <w:r>
              <w:rPr>
                <w:spacing w:val="-2"/>
                <w:sz w:val="20"/>
                <w:lang w:val="en-US"/>
              </w:rPr>
              <w:t>(B)</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not more than one year</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98%</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(C)</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one year but not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96%</w:t>
            </w:r>
          </w:p>
          <w:p>
            <w:pPr>
              <w:pStyle w:val="Normal"/>
              <w:keepLines/>
              <w:tabs>
                <w:tab w:val="clear" w:pos="720"/>
                <w:tab w:val="left" w:pos="-720" w:leader="none"/>
              </w:tabs>
              <w:suppressAutoHyphens w:val="tru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(D)</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94%</w:t>
            </w:r>
          </w:p>
          <w:p>
            <w:pPr>
              <w:pStyle w:val="Normal"/>
              <w:keepLines/>
              <w:tabs>
                <w:tab w:val="clear" w:pos="720"/>
                <w:tab w:val="left" w:pos="-720" w:leader="none"/>
              </w:tabs>
              <w:suppressAutoHyphens w:val="tru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bl>
    <w:p>
      <w:pPr>
        <w:pStyle w:val="Normal"/>
        <w:rPr/>
      </w:pPr>
      <w:r>
        <w:rPr/>
        <w:tab/>
        <w:tab/>
      </w:r>
    </w:p>
    <w:p>
      <w:pPr>
        <w:pStyle w:val="Normal"/>
        <w:rPr>
          <w:sz w:val="20"/>
        </w:rPr>
      </w:pPr>
      <w:r>
        <w:rPr>
          <w:sz w:val="20"/>
        </w:rPr>
      </w:r>
    </w:p>
    <w:p>
      <w:pPr>
        <w:pStyle w:val="Normal"/>
        <w:numPr>
          <w:ilvl w:val="0"/>
          <w:numId w:val="5"/>
        </w:numPr>
        <w:tabs>
          <w:tab w:val="left" w:pos="-720" w:leader="none"/>
          <w:tab w:val="left" w:pos="0" w:leader="none"/>
          <w:tab w:val="left" w:pos="720" w:leader="none"/>
        </w:tabs>
        <w:suppressAutoHyphens w:val="true"/>
        <w:jc w:val="both"/>
        <w:rPr>
          <w:spacing w:val="-2"/>
          <w:sz w:val="20"/>
          <w:lang w:val="en-US"/>
        </w:rPr>
      </w:pPr>
      <w:r>
        <w:rPr>
          <w:b/>
          <w:i/>
          <w:spacing w:val="-2"/>
          <w:sz w:val="20"/>
          <w:lang w:val="en-US"/>
        </w:rPr>
        <w:t>Other Eligible Support.</w:t>
      </w:r>
      <w:r>
        <w:rPr>
          <w:spacing w:val="-2"/>
          <w:sz w:val="20"/>
          <w:lang w:val="en-US"/>
        </w:rPr>
        <w:t xml:space="preserve">  The following items will qualify as </w:t>
      </w:r>
      <w:r>
        <w:rPr>
          <w:b/>
          <w:i/>
          <w:spacing w:val="-2"/>
          <w:sz w:val="20"/>
          <w:lang w:val="en-US"/>
        </w:rPr>
        <w:t>"Other Eligible Support"</w:t>
      </w:r>
      <w:r>
        <w:rPr>
          <w:spacing w:val="-2"/>
          <w:sz w:val="20"/>
          <w:lang w:val="en-US"/>
        </w:rPr>
        <w:t xml:space="preserve"> for the party specified:</w:t>
        <w:tab/>
        <w:tab/>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ind w:start="1440" w:end="0"/>
        <w:jc w:val="both"/>
        <w:rPr>
          <w:color w:val="000000"/>
          <w:spacing w:val="-2"/>
          <w:sz w:val="22"/>
          <w:lang w:val="en-US"/>
        </w:rPr>
      </w:pPr>
      <w:r>
        <w:rPr>
          <w:color w:val="000000"/>
          <w:spacing w:val="-2"/>
          <w:sz w:val="22"/>
          <w:lang w:val="en-US"/>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b/>
                <w:color w:val="000000"/>
                <w:sz w:val="20"/>
              </w:rPr>
            </w:pPr>
            <w:r>
              <w:rPr>
                <w:rFonts w:cs="Times New Roman" w:ascii="Times New Roman" w:hAnsi="Times New Roman"/>
                <w:b/>
                <w:color w:val="000000"/>
                <w:sz w:val="20"/>
              </w:rPr>
            </w:r>
          </w:p>
        </w:tc>
        <w:tc>
          <w:tcPr>
            <w:tcW w:w="1440" w:type="dxa"/>
            <w:tcBorders/>
          </w:tcPr>
          <w:p>
            <w:pPr>
              <w:pStyle w:val="Normal"/>
              <w:keepNext w:val="true"/>
              <w:keepLines/>
              <w:snapToGrid w:val="false"/>
              <w:jc w:val="center"/>
              <w:rPr>
                <w:rFonts w:ascii="Times New Roman" w:hAnsi="Times New Roman" w:cs="Times New Roman"/>
                <w:b/>
                <w:color w:val="000000"/>
                <w:sz w:val="20"/>
              </w:rPr>
            </w:pPr>
            <w:r>
              <w:rPr>
                <w:rFonts w:cs="Times New Roman" w:ascii="Times New Roman" w:hAnsi="Times New Roman"/>
                <w:b/>
                <w:color w:val="000000"/>
                <w:sz w:val="20"/>
              </w:rPr>
            </w:r>
          </w:p>
          <w:p>
            <w:pPr>
              <w:pStyle w:val="Normal"/>
              <w:keepNext w:val="true"/>
              <w:keepLines/>
              <w:jc w:val="center"/>
              <w:rPr>
                <w:b/>
                <w:color w:val="000000"/>
                <w:sz w:val="20"/>
              </w:rPr>
            </w:pPr>
            <w:r>
              <w:rPr>
                <w:b/>
                <w:color w:val="000000"/>
                <w:sz w:val="20"/>
              </w:rPr>
              <w:t>Party A</w:t>
            </w:r>
          </w:p>
          <w:p>
            <w:pPr>
              <w:pStyle w:val="Normal"/>
              <w:keepNext w:val="true"/>
              <w:keepLines/>
              <w:jc w:val="center"/>
              <w:rPr>
                <w:b/>
                <w:color w:val="000000"/>
                <w:sz w:val="20"/>
              </w:rPr>
            </w:pPr>
            <w:r>
              <w:rPr>
                <w:b/>
                <w:color w:val="000000"/>
                <w:sz w:val="20"/>
              </w:rPr>
            </w:r>
          </w:p>
        </w:tc>
        <w:tc>
          <w:tcPr>
            <w:tcW w:w="1644" w:type="dxa"/>
            <w:tcBorders/>
          </w:tcPr>
          <w:p>
            <w:pPr>
              <w:pStyle w:val="Normal"/>
              <w:keepNext w:val="true"/>
              <w:keepLines/>
              <w:snapToGrid w:val="false"/>
              <w:jc w:val="center"/>
              <w:rPr>
                <w:b/>
                <w:color w:val="000000"/>
                <w:sz w:val="20"/>
              </w:rPr>
            </w:pPr>
            <w:r>
              <w:rPr>
                <w:b/>
                <w:color w:val="000000"/>
                <w:sz w:val="20"/>
              </w:rPr>
            </w:r>
          </w:p>
          <w:p>
            <w:pPr>
              <w:pStyle w:val="Normal"/>
              <w:keepNext w:val="true"/>
              <w:keepLines/>
              <w:jc w:val="center"/>
              <w:rPr>
                <w:b/>
                <w:color w:val="000000"/>
                <w:sz w:val="20"/>
              </w:rPr>
            </w:pPr>
            <w:r>
              <w:rPr>
                <w:b/>
                <w:color w:val="000000"/>
                <w:sz w:val="20"/>
              </w:rPr>
              <w:t>Party B</w:t>
            </w:r>
          </w:p>
          <w:p>
            <w:pPr>
              <w:pStyle w:val="Normal"/>
              <w:keepNext w:val="true"/>
              <w:keepLines/>
              <w:jc w:val="center"/>
              <w:rPr>
                <w:b/>
                <w:color w:val="000000"/>
                <w:sz w:val="20"/>
              </w:rPr>
            </w:pPr>
            <w:r>
              <w:rPr>
                <w:b/>
                <w:color w:val="000000"/>
                <w:sz w:val="20"/>
              </w:rPr>
            </w:r>
          </w:p>
        </w:tc>
        <w:tc>
          <w:tcPr>
            <w:tcW w:w="3757" w:type="dxa"/>
            <w:tcBorders/>
          </w:tcPr>
          <w:p>
            <w:pPr>
              <w:pStyle w:val="Normal"/>
              <w:keepNext w:val="true"/>
              <w:keepLines/>
              <w:jc w:val="center"/>
              <w:rPr>
                <w:b/>
                <w:color w:val="000000"/>
                <w:sz w:val="20"/>
              </w:rPr>
            </w:pPr>
            <w:r>
              <w:rPr>
                <w:b/>
                <w:color w:val="000000"/>
                <w:sz w:val="20"/>
              </w:rPr>
              <w:t>Valuation</w:t>
            </w:r>
          </w:p>
          <w:p>
            <w:pPr>
              <w:pStyle w:val="Normal"/>
              <w:keepNext w:val="true"/>
              <w:keepLines/>
              <w:jc w:val="center"/>
              <w:rPr>
                <w:b/>
                <w:color w:val="000000"/>
                <w:sz w:val="20"/>
              </w:rPr>
            </w:pPr>
            <w:r>
              <w:rPr>
                <w:b/>
                <w:color w:val="000000"/>
                <w:sz w:val="20"/>
              </w:rPr>
              <w:t>Percentage</w:t>
            </w:r>
          </w:p>
          <w:p>
            <w:pPr>
              <w:pStyle w:val="Normal"/>
              <w:keepNext w:val="true"/>
              <w:keepLines/>
              <w:jc w:val="center"/>
              <w:rPr>
                <w:b/>
                <w:color w:val="000000"/>
                <w:sz w:val="20"/>
              </w:rPr>
            </w:pPr>
            <w:r>
              <w:rPr>
                <w:b/>
                <w:color w:val="000000"/>
                <w:sz w:val="20"/>
              </w:rPr>
            </w:r>
          </w:p>
        </w:tc>
      </w:tr>
      <w:tr>
        <w:trPr/>
        <w:tc>
          <w:tcPr>
            <w:tcW w:w="1800" w:type="dxa"/>
            <w:tcBorders/>
          </w:tcPr>
          <w:p>
            <w:pPr>
              <w:pStyle w:val="Normal"/>
              <w:keepNext w:val="true"/>
              <w:keepLines/>
              <w:jc w:val="both"/>
              <w:rPr>
                <w:color w:val="000000"/>
                <w:sz w:val="20"/>
              </w:rPr>
            </w:pPr>
            <w:r>
              <w:rPr>
                <w:color w:val="000000"/>
                <w:sz w:val="20"/>
              </w:rPr>
              <w:t>Letters of Credit</w:t>
            </w:r>
          </w:p>
        </w:tc>
        <w:tc>
          <w:tcPr>
            <w:tcW w:w="1440" w:type="dxa"/>
            <w:tcBorders/>
          </w:tcPr>
          <w:p>
            <w:pPr>
              <w:pStyle w:val="Normal"/>
              <w:keepNext w:val="true"/>
              <w:keepLines/>
              <w:jc w:val="center"/>
              <w:rPr>
                <w:color w:val="000000"/>
                <w:sz w:val="20"/>
              </w:rPr>
            </w:pPr>
            <w:r>
              <w:rPr>
                <w:color w:val="000000"/>
                <w:sz w:val="20"/>
              </w:rPr>
              <w:t>[N/A]</w:t>
            </w:r>
          </w:p>
        </w:tc>
        <w:tc>
          <w:tcPr>
            <w:tcW w:w="1644" w:type="dxa"/>
            <w:tcBorders/>
          </w:tcPr>
          <w:p>
            <w:pPr>
              <w:pStyle w:val="Normal"/>
              <w:keepNext w:val="true"/>
              <w:keepLines/>
              <w:jc w:val="center"/>
              <w:rPr>
                <w:color w:val="000000"/>
                <w:sz w:val="20"/>
              </w:rPr>
            </w:pPr>
            <w:r>
              <w:rPr>
                <w:color w:val="000000"/>
                <w:sz w:val="20"/>
              </w:rPr>
              <w:t>[X]</w:t>
            </w:r>
          </w:p>
        </w:tc>
        <w:tc>
          <w:tcPr>
            <w:tcW w:w="3757" w:type="dxa"/>
            <w:tcBorders/>
          </w:tcPr>
          <w:p>
            <w:pPr>
              <w:pStyle w:val="Normal"/>
              <w:keepNext w:val="true"/>
              <w:keepLines/>
              <w:rPr>
                <w:color w:val="000000"/>
                <w:sz w:val="20"/>
              </w:rPr>
            </w:pPr>
            <w:r>
              <w:rPr>
                <w:color w:val="000000"/>
                <w:sz w:val="20"/>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numPr>
          <w:ilvl w:val="0"/>
          <w:numId w:val="5"/>
        </w:numPr>
        <w:tabs>
          <w:tab w:val="left" w:pos="-720" w:leader="none"/>
          <w:tab w:val="left" w:pos="0" w:leader="none"/>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spacing w:val="-2"/>
          <w:sz w:val="20"/>
          <w:lang w:val="en-US"/>
        </w:rPr>
      </w:pPr>
      <w:r>
        <w:rPr>
          <w:spacing w:val="-2"/>
          <w:sz w:val="20"/>
          <w:lang w:val="en-US"/>
        </w:rPr>
        <w:tab/>
        <w:t>(iv)</w:t>
      </w:r>
      <w:r>
        <w:rPr>
          <w:b/>
          <w:i/>
          <w:spacing w:val="-2"/>
          <w:sz w:val="20"/>
          <w:lang w:val="en-US"/>
        </w:rPr>
        <w:tab/>
        <w:t>Thresholds.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ab/>
        <w:t>(A)</w:t>
      </w:r>
      <w:r>
        <w:rPr>
          <w:b/>
          <w:i/>
          <w:spacing w:val="-2"/>
          <w:sz w:val="20"/>
          <w:lang w:val="en-US"/>
        </w:rPr>
        <w:tab/>
        <w:t>"Independent Amount"</w:t>
      </w:r>
      <w:r>
        <w:rPr>
          <w:spacing w:val="-2"/>
          <w:sz w:val="20"/>
          <w:lang w:val="en-US"/>
        </w:rPr>
        <w:t xml:space="preserve"> means with respect to Party A:  $ 0.</w:t>
      </w:r>
    </w:p>
    <w:p>
      <w:pPr>
        <w:pStyle w:val="Normal"/>
        <w:tabs>
          <w:tab w:val="clear" w:pos="720"/>
          <w:tab w:val="left" w:pos="-720" w:leader="none"/>
        </w:tabs>
        <w:suppressAutoHyphens w:val="true"/>
        <w:jc w:val="both"/>
        <w:rPr/>
      </w:pPr>
      <w:r>
        <w:rPr>
          <w:b/>
          <w:i/>
          <w:spacing w:val="-2"/>
          <w:sz w:val="20"/>
          <w:lang w:val="en-US"/>
        </w:rPr>
        <w:tab/>
        <w:tab/>
        <w:tab/>
        <w:t>"Independent Amount"</w:t>
      </w:r>
      <w:r>
        <w:rPr>
          <w:spacing w:val="-2"/>
          <w:sz w:val="20"/>
          <w:lang w:val="en-US"/>
        </w:rPr>
        <w:t xml:space="preserve"> means with respect to Party B:  Not Applicable.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ind w:start="720" w:end="0"/>
        <w:jc w:val="both"/>
        <w:rPr/>
      </w:pPr>
      <w:r>
        <w:rPr>
          <w:b/>
          <w:i/>
          <w:spacing w:val="-2"/>
          <w:sz w:val="20"/>
          <w:lang w:val="en-US"/>
        </w:rPr>
        <w:t>"Threshold"</w:t>
      </w:r>
      <w:r>
        <w:rPr>
          <w:spacing w:val="-2"/>
          <w:sz w:val="20"/>
          <w:lang w:val="en-US"/>
        </w:rPr>
        <w:t xml:space="preserve"> means, with respect to Party B [$--------]  [the amount set forth below opposite the lower of the Credit Ratings in effect on any Valuation Date for Party B; </w:t>
      </w:r>
      <w:r>
        <w:rPr>
          <w:color w:val="000000"/>
          <w:sz w:val="20"/>
        </w:rPr>
        <w:t xml:space="preserve"> provided, however, that the Threshold for Party B shall be zero upon the occurrence and during the continuance of </w:t>
      </w:r>
      <w:ins w:id="0" w:author="cstclai" w:date="2002-02-03T13:50:00Z">
        <w:r>
          <w:rPr>
            <w:color w:val="000000"/>
            <w:sz w:val="20"/>
          </w:rPr>
          <w:t>[</w:t>
        </w:r>
      </w:ins>
      <w:r>
        <w:rPr>
          <w:color w:val="000000"/>
          <w:sz w:val="20"/>
        </w:rPr>
        <w:t xml:space="preserve">a </w:t>
      </w:r>
      <w:r>
        <w:rPr>
          <w:color w:val="000000"/>
          <w:sz w:val="20"/>
          <w:szCs w:val="22"/>
        </w:rPr>
        <w:t xml:space="preserve">Material Adverse Change </w:t>
      </w:r>
      <w:ins w:id="1" w:author="cstclai" w:date="2002-02-03T13:50:00Z">
        <w:r>
          <w:rPr>
            <w:color w:val="000000"/>
            <w:sz w:val="20"/>
            <w:szCs w:val="22"/>
          </w:rPr>
          <w:t xml:space="preserve">or– add only if MAC is defined as something </w:t>
        </w:r>
      </w:ins>
      <w:del w:id="2" w:author="cstclai" w:date="2002-02-03T13:50:00Z">
        <w:r>
          <w:rPr>
            <w:color w:val="000000"/>
            <w:sz w:val="20"/>
          </w:rPr>
          <w:delText>or</w:delText>
        </w:r>
      </w:del>
      <w:ins w:id="3" w:author="cstclai" w:date="2002-02-03T13:50:00Z">
        <w:r>
          <w:rPr>
            <w:color w:val="000000"/>
            <w:sz w:val="20"/>
            <w:szCs w:val="22"/>
          </w:rPr>
          <w:t>other than a ratings trigger]</w:t>
        </w:r>
      </w:ins>
      <w:r>
        <w:rPr>
          <w:color w:val="000000"/>
          <w:sz w:val="20"/>
          <w:szCs w:val="22"/>
        </w:rPr>
        <w:t xml:space="preserve"> </w:t>
      </w:r>
      <w:r>
        <w:rPr>
          <w:color w:val="000000"/>
          <w:sz w:val="20"/>
        </w:rPr>
        <w:t>an Event of Default or Potential Event of Default with respect to Party B.</w:t>
      </w:r>
    </w:p>
    <w:p>
      <w:pPr>
        <w:pStyle w:val="Normal"/>
        <w:ind w:start="720" w:end="0"/>
        <w:jc w:val="both"/>
        <w:rPr>
          <w:color w:val="000000"/>
          <w:sz w:val="20"/>
        </w:rPr>
      </w:pPr>
      <w:r>
        <w:rPr>
          <w:color w:val="000000"/>
          <w:sz w:val="20"/>
        </w:rPr>
      </w:r>
    </w:p>
    <w:tbl>
      <w:tblPr>
        <w:tblW w:w="6480" w:type="dxa"/>
        <w:jc w:val="start"/>
        <w:tblInd w:w="1890" w:type="dxa"/>
        <w:tblLayout w:type="fixed"/>
        <w:tblCellMar>
          <w:top w:w="0" w:type="dxa"/>
          <w:start w:w="180" w:type="dxa"/>
          <w:bottom w:w="0" w:type="dxa"/>
          <w:end w:w="180" w:type="dxa"/>
        </w:tblCellMar>
      </w:tblPr>
      <w:tblGrid>
        <w:gridCol w:w="2160"/>
        <w:gridCol w:w="2160"/>
        <w:gridCol w:w="2160"/>
      </w:tblGrid>
      <w:tr>
        <w:trPr/>
        <w:tc>
          <w:tcPr>
            <w:tcW w:w="2160" w:type="dxa"/>
            <w:tcBorders/>
          </w:tcPr>
          <w:p>
            <w:pPr>
              <w:pStyle w:val="Normal"/>
              <w:keepNext w:val="true"/>
              <w:keepLines/>
              <w:tabs>
                <w:tab w:val="clear" w:pos="720"/>
                <w:tab w:val="left" w:pos="-720" w:leader="none"/>
              </w:tabs>
              <w:suppressAutoHyphens w:val="true"/>
              <w:ind w:end="110"/>
              <w:rPr>
                <w:sz w:val="20"/>
                <w:lang w:val="en-US"/>
              </w:rPr>
            </w:pPr>
            <w:r>
              <w:rPr>
                <w:rFonts w:eastAsia="Helvetica"/>
                <w:sz w:val="20"/>
                <w:lang w:val="en-US"/>
              </w:rPr>
              <w:t xml:space="preserve">      </w:t>
            </w:r>
            <w:r>
              <w:rPr>
                <w:sz w:val="20"/>
                <w:lang w:val="en-US"/>
              </w:rPr>
              <w:t xml:space="preserve">Rating by </w:t>
            </w:r>
          </w:p>
          <w:p>
            <w:pPr>
              <w:pStyle w:val="Normal"/>
              <w:keepNext w:val="true"/>
              <w:keepLines/>
              <w:tabs>
                <w:tab w:val="clear" w:pos="720"/>
                <w:tab w:val="left" w:pos="-720" w:leader="none"/>
              </w:tabs>
              <w:suppressAutoHyphens w:val="true"/>
              <w:ind w:end="110"/>
              <w:rPr>
                <w:sz w:val="20"/>
                <w:lang w:val="en-US"/>
              </w:rPr>
            </w:pPr>
            <w:r>
              <w:rPr>
                <w:sz w:val="20"/>
                <w:lang w:val="en-US"/>
              </w:rPr>
              <w:t xml:space="preserve">Standard &amp; Poor's     </w:t>
            </w:r>
          </w:p>
          <w:p>
            <w:pPr>
              <w:pStyle w:val="Normal"/>
              <w:keepNext w:val="true"/>
              <w:keepLines/>
              <w:tabs>
                <w:tab w:val="clear" w:pos="720"/>
                <w:tab w:val="left" w:pos="-720" w:leader="none"/>
              </w:tabs>
              <w:suppressAutoHyphens w:val="true"/>
              <w:ind w:end="110"/>
              <w:rPr/>
            </w:pPr>
            <w:r>
              <w:rPr>
                <w:rFonts w:eastAsia="Helvetica"/>
                <w:sz w:val="20"/>
                <w:lang w:val="en-US"/>
              </w:rPr>
              <w:t xml:space="preserve"> </w:t>
            </w:r>
            <w:r>
              <w:rPr>
                <w:sz w:val="20"/>
                <w:u w:val="single"/>
                <w:lang w:val="en-US"/>
              </w:rPr>
              <w:t>Ratings Services</w:t>
            </w:r>
            <w:r>
              <w:rPr>
                <w:sz w:val="20"/>
                <w:lang w:val="en-US"/>
              </w:rPr>
              <w:t xml:space="preserve"> </w:t>
            </w:r>
          </w:p>
          <w:p>
            <w:pPr>
              <w:pStyle w:val="Normal"/>
              <w:keepNext w:val="true"/>
              <w:keepLines/>
              <w:tabs>
                <w:tab w:val="clear" w:pos="720"/>
                <w:tab w:val="left" w:pos="-720" w:leader="none"/>
              </w:tabs>
              <w:suppressAutoHyphens w:val="true"/>
              <w:ind w:end="110"/>
              <w:rPr>
                <w:sz w:val="20"/>
                <w:lang w:val="en-US"/>
              </w:rPr>
            </w:pPr>
            <w:r>
              <w:rPr>
                <w:sz w:val="20"/>
                <w:lang w:val="en-US"/>
              </w:rPr>
            </w:r>
          </w:p>
          <w:p>
            <w:pPr>
              <w:pStyle w:val="Normal"/>
              <w:keepNext w:val="true"/>
              <w:keepLines/>
              <w:tabs>
                <w:tab w:val="clear" w:pos="720"/>
                <w:tab w:val="center" w:pos="1099" w:leader="none"/>
              </w:tabs>
              <w:suppressAutoHyphens w:val="true"/>
              <w:ind w:end="110"/>
              <w:rPr>
                <w:sz w:val="20"/>
                <w:lang w:val="en-US"/>
              </w:rPr>
            </w:pPr>
            <w:r>
              <w:rPr>
                <w:sz w:val="20"/>
                <w:lang w:val="en-US"/>
              </w:rPr>
              <w:tab/>
              <w:t>AAA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left" w:pos="-720" w:leader="none"/>
              </w:tabs>
              <w:suppressAutoHyphens w:val="true"/>
              <w:ind w:end="110"/>
              <w:jc w:val="center"/>
              <w:rPr>
                <w:sz w:val="20"/>
                <w:lang w:val="en-US"/>
              </w:rPr>
            </w:pPr>
            <w:r>
              <w:rPr>
                <w:sz w:val="20"/>
                <w:lang w:val="en-US"/>
              </w:rPr>
              <w:t>BBB+ or below</w:t>
            </w:r>
          </w:p>
          <w:p>
            <w:pPr>
              <w:pStyle w:val="Normal"/>
              <w:keepNext w:val="true"/>
              <w:keepLines/>
              <w:tabs>
                <w:tab w:val="clear" w:pos="720"/>
                <w:tab w:val="left" w:pos="-720" w:leader="none"/>
              </w:tabs>
              <w:suppressAutoHyphens w:val="true"/>
              <w:ind w:end="110"/>
              <w:jc w:val="center"/>
              <w:rPr>
                <w:sz w:val="20"/>
                <w:lang w:val="en-US"/>
              </w:rPr>
            </w:pPr>
            <w:r>
              <w:rPr>
                <w:sz w:val="20"/>
                <w:lang w:val="en-US"/>
              </w:rPr>
              <w:t>or not rated</w:t>
            </w:r>
          </w:p>
        </w:tc>
        <w:tc>
          <w:tcPr>
            <w:tcW w:w="2160" w:type="dxa"/>
            <w:tcBorders/>
          </w:tcPr>
          <w:p>
            <w:pPr>
              <w:pStyle w:val="Normal"/>
              <w:keepNext w:val="true"/>
              <w:keepLines/>
              <w:tabs>
                <w:tab w:val="clear" w:pos="720"/>
                <w:tab w:val="left" w:pos="-720" w:leader="none"/>
              </w:tabs>
              <w:suppressAutoHyphens w:val="true"/>
              <w:ind w:start="111" w:end="0"/>
              <w:rPr>
                <w:sz w:val="20"/>
                <w:lang w:val="en-US"/>
              </w:rPr>
            </w:pPr>
            <w:r>
              <w:rPr>
                <w:rFonts w:eastAsia="Helvetica"/>
                <w:sz w:val="20"/>
                <w:lang w:val="en-US"/>
              </w:rPr>
              <w:t xml:space="preserve">        </w:t>
            </w:r>
            <w:r>
              <w:rPr>
                <w:sz w:val="20"/>
                <w:lang w:val="en-US"/>
              </w:rPr>
              <w:t>Rating by Moody's Investors</w:t>
            </w:r>
          </w:p>
          <w:p>
            <w:pPr>
              <w:pStyle w:val="Normal"/>
              <w:keepNext w:val="true"/>
              <w:keepLines/>
              <w:tabs>
                <w:tab w:val="clear" w:pos="720"/>
                <w:tab w:val="left" w:pos="-720" w:leader="none"/>
              </w:tabs>
              <w:suppressAutoHyphens w:val="true"/>
              <w:ind w:start="111" w:end="0"/>
              <w:rPr/>
            </w:pPr>
            <w:r>
              <w:rPr>
                <w:rFonts w:eastAsia="Helvetica"/>
                <w:sz w:val="20"/>
                <w:lang w:val="en-US"/>
              </w:rPr>
              <w:t xml:space="preserve"> </w:t>
            </w:r>
            <w:r>
              <w:rPr>
                <w:rFonts w:eastAsia="Helvetica"/>
                <w:sz w:val="20"/>
                <w:u w:val="single"/>
                <w:lang w:val="en-US"/>
              </w:rPr>
              <w:t xml:space="preserve">      </w:t>
            </w:r>
            <w:r>
              <w:rPr>
                <w:sz w:val="20"/>
                <w:u w:val="single"/>
                <w:lang w:val="en-US"/>
              </w:rPr>
              <w:t xml:space="preserve">Service, Inc.   </w:t>
            </w:r>
            <w:r>
              <w:rPr>
                <w:sz w:val="20"/>
                <w:lang w:val="en-US"/>
              </w:rPr>
              <w:t xml:space="preserve"> </w:t>
            </w:r>
          </w:p>
          <w:p>
            <w:pPr>
              <w:pStyle w:val="Normal"/>
              <w:keepNext w:val="true"/>
              <w:keepLines/>
              <w:tabs>
                <w:tab w:val="clear" w:pos="720"/>
                <w:tab w:val="left" w:pos="-720" w:leader="none"/>
              </w:tabs>
              <w:suppressAutoHyphens w:val="true"/>
              <w:ind w:start="111" w:end="0"/>
              <w:rPr>
                <w:sz w:val="20"/>
                <w:lang w:val="en-US"/>
              </w:rPr>
            </w:pPr>
            <w:r>
              <w:rPr>
                <w:sz w:val="20"/>
                <w:lang w:val="en-US"/>
              </w:rPr>
            </w:r>
          </w:p>
          <w:p>
            <w:pPr>
              <w:pStyle w:val="Normal"/>
              <w:keepNext w:val="true"/>
              <w:keepLines/>
              <w:tabs>
                <w:tab w:val="clear" w:pos="720"/>
                <w:tab w:val="center" w:pos="970" w:leader="none"/>
              </w:tabs>
              <w:suppressAutoHyphens w:val="true"/>
              <w:ind w:start="111" w:end="0"/>
              <w:rPr>
                <w:sz w:val="20"/>
                <w:lang w:val="en-US"/>
              </w:rPr>
            </w:pPr>
            <w:r>
              <w:rPr>
                <w:sz w:val="20"/>
                <w:lang w:val="en-US"/>
              </w:rPr>
              <w:tab/>
              <w:t>Aaa</w:t>
            </w:r>
          </w:p>
          <w:p>
            <w:pPr>
              <w:pStyle w:val="Normal"/>
              <w:keepNext w:val="true"/>
              <w:keepLines/>
              <w:tabs>
                <w:tab w:val="clear" w:pos="720"/>
                <w:tab w:val="center" w:pos="970" w:leader="none"/>
              </w:tabs>
              <w:suppressAutoHyphens w:val="true"/>
              <w:ind w:start="111" w:end="0"/>
              <w:rPr>
                <w:sz w:val="20"/>
                <w:lang w:val="en-US"/>
              </w:rPr>
            </w:pPr>
            <w:r>
              <w:rPr>
                <w:sz w:val="20"/>
                <w:lang w:val="en-US"/>
              </w:rPr>
              <w:tab/>
              <w:t>Aa1</w:t>
            </w:r>
          </w:p>
          <w:p>
            <w:pPr>
              <w:pStyle w:val="Normal"/>
              <w:keepNext w:val="true"/>
              <w:keepLines/>
              <w:tabs>
                <w:tab w:val="clear" w:pos="720"/>
                <w:tab w:val="center" w:pos="970" w:leader="none"/>
              </w:tabs>
              <w:suppressAutoHyphens w:val="true"/>
              <w:ind w:start="111" w:end="0"/>
              <w:rPr>
                <w:sz w:val="20"/>
                <w:lang w:val="en-US"/>
              </w:rPr>
            </w:pPr>
            <w:r>
              <w:rPr>
                <w:sz w:val="20"/>
                <w:lang w:val="en-US"/>
              </w:rPr>
              <w:tab/>
              <w:t>Aa2</w:t>
            </w:r>
          </w:p>
          <w:p>
            <w:pPr>
              <w:pStyle w:val="Normal"/>
              <w:keepNext w:val="true"/>
              <w:keepLines/>
              <w:tabs>
                <w:tab w:val="clear" w:pos="720"/>
                <w:tab w:val="center" w:pos="970" w:leader="none"/>
              </w:tabs>
              <w:suppressAutoHyphens w:val="true"/>
              <w:ind w:start="111" w:end="0"/>
              <w:rPr>
                <w:sz w:val="20"/>
                <w:lang w:val="en-US"/>
              </w:rPr>
            </w:pPr>
            <w:r>
              <w:rPr>
                <w:sz w:val="20"/>
                <w:lang w:val="en-US"/>
              </w:rPr>
              <w:tab/>
              <w:t>Aa3</w:t>
            </w:r>
          </w:p>
          <w:p>
            <w:pPr>
              <w:pStyle w:val="Normal"/>
              <w:keepNext w:val="true"/>
              <w:keepLines/>
              <w:tabs>
                <w:tab w:val="clear" w:pos="720"/>
                <w:tab w:val="center" w:pos="970" w:leader="none"/>
              </w:tabs>
              <w:suppressAutoHyphens w:val="true"/>
              <w:ind w:start="111" w:end="0"/>
              <w:rPr>
                <w:sz w:val="20"/>
                <w:lang w:val="en-US"/>
              </w:rPr>
            </w:pPr>
            <w:r>
              <w:rPr>
                <w:sz w:val="20"/>
                <w:lang w:val="en-US"/>
              </w:rPr>
              <w:tab/>
              <w:t>A1</w:t>
            </w:r>
          </w:p>
          <w:p>
            <w:pPr>
              <w:pStyle w:val="Normal"/>
              <w:keepNext w:val="true"/>
              <w:keepLines/>
              <w:tabs>
                <w:tab w:val="clear" w:pos="720"/>
                <w:tab w:val="center" w:pos="970" w:leader="none"/>
              </w:tabs>
              <w:suppressAutoHyphens w:val="true"/>
              <w:ind w:start="111" w:end="0"/>
              <w:rPr>
                <w:sz w:val="20"/>
                <w:lang w:val="en-US"/>
              </w:rPr>
            </w:pPr>
            <w:r>
              <w:rPr>
                <w:sz w:val="20"/>
                <w:lang w:val="en-US"/>
              </w:rPr>
              <w:tab/>
              <w:t>A2</w:t>
            </w:r>
          </w:p>
          <w:p>
            <w:pPr>
              <w:pStyle w:val="Normal"/>
              <w:keepNext w:val="true"/>
              <w:keepLines/>
              <w:tabs>
                <w:tab w:val="clear" w:pos="720"/>
                <w:tab w:val="center" w:pos="970" w:leader="none"/>
              </w:tabs>
              <w:suppressAutoHyphens w:val="true"/>
              <w:ind w:start="111" w:end="0"/>
              <w:rPr>
                <w:sz w:val="20"/>
                <w:lang w:val="en-US"/>
              </w:rPr>
            </w:pPr>
            <w:r>
              <w:rPr>
                <w:sz w:val="20"/>
                <w:lang w:val="en-US"/>
              </w:rPr>
              <w:tab/>
              <w:t>A3</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 xml:space="preserve">Baa1 or below </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or not rated</w:t>
            </w:r>
          </w:p>
          <w:p>
            <w:pPr>
              <w:pStyle w:val="Normal"/>
              <w:keepNext w:val="true"/>
              <w:keepLines/>
              <w:tabs>
                <w:tab w:val="clear" w:pos="720"/>
                <w:tab w:val="left" w:pos="-720" w:leader="none"/>
              </w:tabs>
              <w:suppressAutoHyphens w:val="true"/>
              <w:ind w:start="111" w:end="0"/>
              <w:rPr>
                <w:sz w:val="20"/>
                <w:lang w:val="en-US"/>
              </w:rPr>
            </w:pPr>
            <w:r>
              <w:rPr>
                <w:sz w:val="20"/>
                <w:lang w:val="en-US"/>
              </w:rPr>
            </w:r>
          </w:p>
        </w:tc>
        <w:tc>
          <w:tcPr>
            <w:tcW w:w="2160" w:type="dxa"/>
            <w:tcBorders/>
          </w:tcPr>
          <w:p>
            <w:pPr>
              <w:pStyle w:val="Normal"/>
              <w:keepNext w:val="true"/>
              <w:keepLines/>
              <w:tabs>
                <w:tab w:val="clear" w:pos="720"/>
                <w:tab w:val="left" w:pos="-720" w:leader="none"/>
              </w:tabs>
              <w:suppressAutoHyphens w:val="true"/>
              <w:snapToGrid w:val="false"/>
              <w:jc w:val="center"/>
              <w:rPr>
                <w:sz w:val="20"/>
                <w:lang w:val="en-US"/>
              </w:rPr>
            </w:pPr>
            <w:r>
              <w:rPr>
                <w:sz w:val="20"/>
                <w:lang w:val="en-US"/>
              </w:rPr>
            </w:r>
          </w:p>
          <w:p>
            <w:pPr>
              <w:pStyle w:val="Normal"/>
              <w:keepNext w:val="true"/>
              <w:keepLines/>
              <w:tabs>
                <w:tab w:val="clear" w:pos="720"/>
                <w:tab w:val="left" w:pos="-720" w:leader="none"/>
              </w:tabs>
              <w:suppressAutoHyphens w:val="true"/>
              <w:jc w:val="center"/>
              <w:rPr>
                <w:sz w:val="20"/>
                <w:lang w:val="en-US"/>
              </w:rPr>
            </w:pPr>
            <w:r>
              <w:rPr>
                <w:sz w:val="20"/>
                <w:lang w:val="en-US"/>
              </w:rPr>
            </w:r>
          </w:p>
          <w:p>
            <w:pPr>
              <w:pStyle w:val="Normal"/>
              <w:keepLines/>
              <w:tabs>
                <w:tab w:val="clear" w:pos="720"/>
                <w:tab w:val="left" w:pos="-720" w:leader="none"/>
              </w:tabs>
              <w:suppressAutoHyphens w:val="true"/>
              <w:jc w:val="center"/>
              <w:rPr>
                <w:sz w:val="20"/>
                <w:lang w:val="en-US"/>
              </w:rPr>
            </w:pPr>
            <w:r>
              <w:rPr>
                <w:sz w:val="20"/>
                <w:u w:val="single"/>
                <w:lang w:val="en-US"/>
              </w:rPr>
              <w:t>Collateral Threshold</w:t>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t>Zero</w:t>
            </w:r>
          </w:p>
        </w:tc>
      </w:tr>
    </w:tbl>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ab/>
        <w:t>If either Standard &amp; Poor's Ratings Services, a division of The McGraw-Hill Companies, Inc. ("S&amp;P") or Moody's Investors Service, Inc.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Agreement.</w:t>
      </w:r>
      <w:r>
        <w:rPr>
          <w:b/>
          <w:spacing w:val="-2"/>
          <w:sz w:val="20"/>
          <w:lang w:val="en-US"/>
        </w:rPr>
        <w:t>]</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b/>
          <w:spacing w:val="-2"/>
          <w:sz w:val="20"/>
          <w:lang w:val="en-US"/>
        </w:rPr>
      </w:pPr>
      <w:r>
        <w:rPr>
          <w:b/>
          <w:i/>
          <w:spacing w:val="-2"/>
          <w:sz w:val="20"/>
          <w:lang w:val="en-US"/>
        </w:rPr>
        <w:t>"Threshold"</w:t>
      </w:r>
      <w:r>
        <w:rPr>
          <w:spacing w:val="-2"/>
          <w:sz w:val="20"/>
          <w:lang w:val="en-US"/>
        </w:rPr>
        <w:t xml:space="preserve"> means with respect to Party A: N/A.</w:t>
      </w:r>
    </w:p>
    <w:p>
      <w:pPr>
        <w:pStyle w:val="Normal"/>
        <w:tabs>
          <w:tab w:val="left" w:pos="-720" w:leader="none"/>
          <w:tab w:val="left" w:pos="0" w:leader="none"/>
          <w:tab w:val="left" w:pos="720" w:leader="none"/>
          <w:tab w:val="left" w:pos="1440" w:leader="none"/>
        </w:tabs>
        <w:suppressAutoHyphens w:val="true"/>
        <w:ind w:hanging="2160" w:start="2160" w:end="0"/>
        <w:jc w:val="both"/>
        <w:rPr>
          <w:b/>
          <w:spacing w:val="-2"/>
          <w:sz w:val="20"/>
          <w:lang w:val="en-US"/>
        </w:rPr>
      </w:pPr>
      <w:r>
        <w:rPr>
          <w:b/>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(C)</w:t>
      </w:r>
      <w:r>
        <w:rPr>
          <w:b/>
          <w:i/>
          <w:spacing w:val="-2"/>
          <w:sz w:val="20"/>
          <w:lang w:val="en-US"/>
        </w:rPr>
        <w:tab/>
        <w:t>"Minimum Transfer Amount"</w:t>
      </w:r>
      <w:r>
        <w:rPr>
          <w:spacing w:val="-2"/>
          <w:sz w:val="20"/>
          <w:lang w:val="en-US"/>
        </w:rPr>
        <w:t xml:space="preserve"> means with respect to Party A:  N/A</w:t>
      </w:r>
    </w:p>
    <w:p>
      <w:pPr>
        <w:pStyle w:val="Normal"/>
        <w:tabs>
          <w:tab w:val="clear" w:pos="720"/>
          <w:tab w:val="left" w:pos="-720" w:leader="none"/>
          <w:tab w:val="left" w:pos="2160" w:leader="none"/>
          <w:tab w:val="left" w:pos="2880" w:leader="none"/>
        </w:tabs>
        <w:suppressAutoHyphens w:val="true"/>
        <w:jc w:val="both"/>
        <w:rPr/>
      </w:pPr>
      <w:r>
        <w:rPr>
          <w:b/>
          <w:i/>
          <w:spacing w:val="-2"/>
          <w:sz w:val="20"/>
          <w:lang w:val="en-US"/>
        </w:rPr>
        <w:tab/>
        <w:t>"Minimum Transfer Amount"</w:t>
      </w:r>
      <w:r>
        <w:rPr>
          <w:spacing w:val="-2"/>
          <w:sz w:val="20"/>
          <w:lang w:val="en-US"/>
        </w:rPr>
        <w:t xml:space="preserve"> means with respect to Party B:  $______</w:t>
      </w:r>
    </w:p>
    <w:p>
      <w:pPr>
        <w:pStyle w:val="Normal"/>
        <w:tabs>
          <w:tab w:val="clear" w:pos="720"/>
          <w:tab w:val="left" w:pos="-720" w:leader="none"/>
          <w:tab w:val="left" w:pos="216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(D)</w:t>
      </w:r>
      <w:r>
        <w:rPr>
          <w:b/>
          <w:i/>
          <w:spacing w:val="-2"/>
          <w:sz w:val="20"/>
          <w:lang w:val="en-US"/>
        </w:rPr>
        <w:tab/>
        <w:t>Rounding.</w:t>
      </w:r>
      <w:r>
        <w:rPr>
          <w:spacing w:val="-2"/>
          <w:sz w:val="20"/>
          <w:lang w:val="en-US"/>
        </w:rPr>
        <w:t xml:space="preserve"> [The Delivery Amount and the Return Amount will not be rounded.] [The Delivery Amount and the Return Amount will be rounded up and down to the nearest integral multiple of [$100,000], respectively.]</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clear" w:pos="720"/>
          <w:tab w:val="left" w:pos="-720" w:leader="none"/>
        </w:tabs>
        <w:suppressAutoHyphens w:val="true"/>
        <w:jc w:val="both"/>
        <w:rPr>
          <w:rFonts w:eastAsia="Helvetica"/>
          <w:spacing w:val="-2"/>
          <w:sz w:val="20"/>
          <w:lang w:val="en-US"/>
        </w:rPr>
      </w:pPr>
      <w:r>
        <w:rPr>
          <w:rFonts w:eastAsia="Helvetica"/>
          <w:spacing w:val="-2"/>
          <w:sz w:val="20"/>
          <w:lang w:val="en-US"/>
        </w:rPr>
        <w:t xml:space="preserve"> </w:t>
      </w:r>
    </w:p>
    <w:p>
      <w:pPr>
        <w:pStyle w:val="Normal"/>
        <w:tabs>
          <w:tab w:val="clear" w:pos="720"/>
          <w:tab w:val="left" w:pos="-720" w:leader="none"/>
        </w:tabs>
        <w:suppressAutoHyphens w:val="true"/>
        <w:jc w:val="both"/>
        <w:rPr>
          <w:spacing w:val="-2"/>
          <w:sz w:val="20"/>
          <w:lang w:val="en-US"/>
        </w:rPr>
      </w:pPr>
      <w:r>
        <w:rPr>
          <w:spacing w:val="-2"/>
          <w:sz w:val="20"/>
          <w:lang w:val="en-US"/>
        </w:rPr>
        <w:t>(c)</w:t>
      </w:r>
      <w:r>
        <w:rPr>
          <w:b/>
          <w:i/>
          <w:spacing w:val="-2"/>
          <w:sz w:val="20"/>
          <w:lang w:val="en-US"/>
        </w:rPr>
        <w:tab/>
        <w:t>Valuation and Timing.</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spacing w:before="240" w:after="0"/>
        <w:ind w:start="720" w:end="0"/>
        <w:jc w:val="both"/>
        <w:rPr/>
      </w:pPr>
      <w:r>
        <w:rPr>
          <w:spacing w:val="-2"/>
          <w:sz w:val="20"/>
          <w:lang w:val="en-US"/>
        </w:rPr>
        <w:tab/>
        <w:t>(i)</w:t>
      </w:r>
      <w:r>
        <w:rPr>
          <w:b/>
          <w:i/>
          <w:spacing w:val="-2"/>
          <w:sz w:val="20"/>
          <w:lang w:val="en-US"/>
        </w:rPr>
        <w:tab/>
        <w:t>"Valuation Agent"</w:t>
      </w:r>
      <w:r>
        <w:rPr>
          <w:spacing w:val="-2"/>
          <w:sz w:val="20"/>
          <w:lang w:val="en-US"/>
        </w:rPr>
        <w:t xml:space="preserve"> means, for the purposes of Paragraphs 3 and 5, the party making the demand under Paragraph 3, and, for the purposes of Paragraphs 4(d) and 6(d), the Secured Party;</w:t>
      </w:r>
      <w:r>
        <w:rPr>
          <w:color w:val="000000"/>
          <w:sz w:val="22"/>
        </w:rPr>
        <w:t xml:space="preserve"> </w:t>
      </w:r>
      <w:r>
        <w:rPr>
          <w:color w:val="000000"/>
          <w:sz w:val="20"/>
        </w:rPr>
        <w:t>provided, however, that in all cases, if a Material Adverse Change or an Event of Default or Potential Event of Default or Specified Condition has occurred and is continuing with respect to the party designated as the Valuation Agent, then in such case, and for so long as the Material Adverse Change, Event of Default or Potential Event of Default or Specified Condition continues, the other party shall be the Valuation Agent.</w:t>
      </w:r>
    </w:p>
    <w:p>
      <w:pPr>
        <w:pStyle w:val="Normal"/>
        <w:tabs>
          <w:tab w:val="clear" w:pos="720"/>
          <w:tab w:val="left" w:pos="-720" w:leader="none"/>
        </w:tabs>
        <w:suppressAutoHyphens w:val="true"/>
        <w:ind w:hanging="1440" w:start="1440" w:end="0"/>
        <w:jc w:val="both"/>
        <w:rPr>
          <w:color w:val="000000"/>
          <w:spacing w:val="-2"/>
          <w:sz w:val="20"/>
          <w:lang w:val="en-US"/>
        </w:rPr>
      </w:pPr>
      <w:r>
        <w:rPr>
          <w:color w:val="000000"/>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(ii)</w:t>
      </w:r>
      <w:r>
        <w:rPr>
          <w:b/>
          <w:i/>
          <w:spacing w:val="-2"/>
          <w:sz w:val="20"/>
          <w:lang w:val="en-US"/>
        </w:rPr>
        <w:tab/>
        <w:t>"Valuation Date"</w:t>
      </w:r>
      <w:r>
        <w:rPr>
          <w:spacing w:val="-2"/>
          <w:sz w:val="20"/>
          <w:lang w:val="en-US"/>
        </w:rPr>
        <w:t xml:space="preserve"> means each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4"/>
        </w:numPr>
        <w:tabs>
          <w:tab w:val="clear" w:pos="720"/>
          <w:tab w:val="left" w:pos="-720" w:leader="none"/>
        </w:tabs>
        <w:suppressAutoHyphens w:val="true"/>
        <w:ind w:hanging="720" w:start="1440" w:end="0"/>
        <w:jc w:val="both"/>
        <w:rPr>
          <w:spacing w:val="-2"/>
          <w:sz w:val="20"/>
          <w:lang w:val="en-US"/>
        </w:rPr>
      </w:pPr>
      <w:r>
        <w:rPr>
          <w:b/>
          <w:i/>
          <w:spacing w:val="-2"/>
          <w:sz w:val="20"/>
          <w:lang w:val="en-US"/>
        </w:rPr>
        <w:t>"Valuation Time"</w:t>
      </w:r>
      <w:r>
        <w:rPr>
          <w:spacing w:val="-2"/>
          <w:sz w:val="20"/>
          <w:lang w:val="en-US"/>
        </w:rPr>
        <w:t xml:space="preserve"> means the close of business on the Local Business Day before the Valuation Date or date of calculation, as applicable; </w:t>
      </w:r>
      <w:r>
        <w:rPr>
          <w:i/>
          <w:spacing w:val="-2"/>
          <w:sz w:val="20"/>
          <w:lang w:val="en-US"/>
        </w:rPr>
        <w:t>provided</w:t>
      </w:r>
      <w:r>
        <w:rPr>
          <w:spacing w:val="-2"/>
          <w:sz w:val="20"/>
          <w:lang w:val="en-US"/>
        </w:rPr>
        <w:t xml:space="preserve"> that the calculations of Value and Exposure will be made as of approximately the same time on the same day.</w:t>
      </w:r>
    </w:p>
    <w:p>
      <w:pPr>
        <w:pStyle w:val="Normal"/>
        <w:tabs>
          <w:tab w:val="clear" w:pos="720"/>
          <w:tab w:val="left" w:pos="-720" w:leader="none"/>
        </w:tabs>
        <w:suppressAutoHyphens w:val="true"/>
        <w:ind w:start="720" w:end="0"/>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(iv)</w:t>
      </w:r>
      <w:r>
        <w:rPr>
          <w:b/>
          <w:i/>
          <w:spacing w:val="-2"/>
          <w:sz w:val="20"/>
          <w:lang w:val="en-US"/>
        </w:rPr>
        <w:tab/>
        <w:t>"Notification Time"</w:t>
      </w:r>
      <w:r>
        <w:rPr>
          <w:spacing w:val="-2"/>
          <w:sz w:val="20"/>
          <w:lang w:val="en-US"/>
        </w:rPr>
        <w:t xml:space="preserve"> means 1:00 p.m. New York time on a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(d)</w:t>
      </w:r>
      <w:r>
        <w:rPr>
          <w:b/>
          <w:i/>
          <w:spacing w:val="-2"/>
          <w:sz w:val="20"/>
          <w:lang w:val="en-US"/>
        </w:rPr>
        <w:tab/>
        <w:t>Conditions Precedent and Secured Party's Rights and Remedies.</w:t>
      </w:r>
      <w:r>
        <w:rPr>
          <w:spacing w:val="-2"/>
          <w:sz w:val="20"/>
          <w:lang w:val="en-US"/>
        </w:rPr>
        <w:t xml:space="preserve"> The following Termination Events will be a "</w:t>
      </w:r>
      <w:r>
        <w:rPr>
          <w:i/>
          <w:spacing w:val="-2"/>
          <w:sz w:val="20"/>
          <w:lang w:val="en-US"/>
        </w:rPr>
        <w:t>Specified Condition"</w:t>
      </w:r>
      <w:r>
        <w:rPr>
          <w:spacing w:val="-2"/>
          <w:sz w:val="20"/>
          <w:lang w:val="en-US"/>
        </w:rPr>
        <w:t xml:space="preserve"> for Party B: Illegality, Tax Event, Tax Event Upon Merger [and] Credit Event Upon Merger [and Additional Termination Event].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(e)</w:t>
      </w:r>
      <w:r>
        <w:rPr>
          <w:b/>
          <w:i/>
          <w:spacing w:val="-2"/>
          <w:sz w:val="20"/>
          <w:lang w:val="en-US"/>
        </w:rPr>
        <w:tab/>
        <w:t>Substitution</w:t>
      </w:r>
      <w:r>
        <w:rPr>
          <w:i/>
          <w:spacing w:val="-2"/>
          <w:sz w:val="20"/>
          <w:lang w:val="en-US"/>
        </w:rPr>
        <w: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720" w:leader="none"/>
          <w:tab w:val="left" w:pos="1418" w:leader="none"/>
        </w:tabs>
        <w:suppressAutoHyphens w:val="true"/>
        <w:jc w:val="both"/>
        <w:rPr/>
      </w:pPr>
      <w:r>
        <w:rPr>
          <w:spacing w:val="-2"/>
          <w:sz w:val="20"/>
          <w:lang w:val="en-US"/>
        </w:rPr>
        <w:tab/>
        <w:t>(i)</w:t>
      </w:r>
      <w:r>
        <w:rPr>
          <w:b/>
          <w:i/>
          <w:spacing w:val="-2"/>
          <w:sz w:val="20"/>
          <w:lang w:val="en-US"/>
        </w:rPr>
        <w:tab/>
        <w:t>"Substitution Date"</w:t>
      </w:r>
      <w:r>
        <w:rPr>
          <w:spacing w:val="-2"/>
          <w:sz w:val="20"/>
          <w:lang w:val="en-US"/>
        </w:rPr>
        <w:t xml:space="preserve"> has the meaning specified in Paragraph 4(d)(ii).</w:t>
      </w:r>
    </w:p>
    <w:p>
      <w:pPr>
        <w:pStyle w:val="Normal"/>
        <w:tabs>
          <w:tab w:val="left" w:pos="-720" w:leader="none"/>
          <w:tab w:val="left" w:pos="0" w:leader="none"/>
          <w:tab w:val="left" w:pos="720" w:leader="none"/>
          <w:tab w:val="decimal" w:pos="144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Consent</w:t>
      </w:r>
      <w:r>
        <w:rPr>
          <w:spacing w:val="-2"/>
          <w:sz w:val="20"/>
          <w:lang w:val="en-US"/>
        </w:rPr>
        <w:t>.  If specified here as applicable, then Pledgor must obtain the Secured Party's consent for any substitution pursuant to Paragraph 4(d):  N/A</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(f)</w:t>
      </w:r>
      <w:r>
        <w:rPr>
          <w:b/>
          <w:i/>
          <w:spacing w:val="-2"/>
          <w:sz w:val="20"/>
          <w:lang w:val="en-US"/>
        </w:rPr>
        <w:tab/>
        <w:t>Dispute Resolution.</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w:t>
      </w:r>
      <w:r>
        <w:rPr>
          <w:b/>
          <w:i/>
          <w:spacing w:val="-2"/>
          <w:sz w:val="20"/>
          <w:lang w:val="en-US"/>
        </w:rPr>
        <w:tab/>
        <w:t>"Resolution Time"</w:t>
      </w:r>
      <w:r>
        <w:rPr>
          <w:spacing w:val="-2"/>
          <w:sz w:val="20"/>
          <w:lang w:val="en-US"/>
        </w:rPr>
        <w:t xml:space="preserve"> means 1:00 p.m., New York time, on the Local Business Day following the date on which the notice of the dispute is given under Paragraph 5.</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Value</w:t>
      </w:r>
      <w:r>
        <w:rPr>
          <w:spacing w:val="-2"/>
          <w:sz w:val="20"/>
          <w:lang w:val="en-US"/>
        </w:rPr>
        <w:t>.  For the purpose of Paragraphs 5(i)(C) and 5(ii), the Value of Posted Credit Support of the type described in Paragraph 13(b)(ii)(B), (C) or (D) (referred to herein as "Government Obligations") will equal the Valuation Percentage multiplied by the sum of (A) either (1) the mean of the high bid and low asked prices quoted on such date by any principal market maker for such Government Obligations,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(B) accrued interest on such Government Obligations (except to the extent included in the applicable price referred to in clause (A) above).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1440"/>
        <w:jc w:val="both"/>
        <w:rPr/>
      </w:pPr>
      <w:r>
        <w:rPr>
          <w:spacing w:val="-2"/>
          <w:sz w:val="20"/>
          <w:lang w:val="en-US"/>
        </w:rPr>
        <w:tab/>
        <w:t>(iii)</w:t>
      </w:r>
      <w:r>
        <w:rPr>
          <w:b/>
          <w:i/>
          <w:spacing w:val="-2"/>
          <w:sz w:val="20"/>
          <w:lang w:val="en-US"/>
        </w:rPr>
        <w:tab/>
        <w:t>Alternative.</w:t>
      </w:r>
      <w:r>
        <w:rPr>
          <w:spacing w:val="-2"/>
          <w:sz w:val="20"/>
          <w:lang w:val="en-US"/>
        </w:rPr>
        <w:t xml:space="preserve">  The provision of Paragraph 5 will apply.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(g)</w:t>
      </w:r>
      <w:r>
        <w:rPr>
          <w:b/>
          <w:i/>
          <w:spacing w:val="-2"/>
          <w:sz w:val="20"/>
          <w:lang w:val="en-US"/>
        </w:rPr>
        <w:tab/>
        <w:t>Holding and Using Posted Collateral.</w:t>
      </w:r>
    </w:p>
    <w:p>
      <w:pPr>
        <w:pStyle w:val="Normal"/>
        <w:tabs>
          <w:tab w:val="clear" w:pos="720"/>
          <w:tab w:val="left" w:pos="-720" w:leader="none"/>
        </w:tabs>
        <w:suppressAutoHyphens w:val="true"/>
        <w:jc w:val="both"/>
        <w:rPr>
          <w:b/>
          <w:i/>
          <w:i/>
          <w:spacing w:val="-2"/>
          <w:sz w:val="20"/>
          <w:lang w:val="en-US"/>
        </w:rPr>
      </w:pPr>
      <w:r>
        <w:rPr>
          <w:b/>
          <w:i/>
          <w:spacing w:val="-2"/>
          <w:sz w:val="20"/>
          <w:lang w:val="en-US"/>
        </w:rPr>
      </w:r>
    </w:p>
    <w:p>
      <w:pPr>
        <w:pStyle w:val="Normal"/>
        <w:tabs>
          <w:tab w:val="clear" w:pos="720"/>
          <w:tab w:val="left" w:pos="-720" w:leader="none"/>
        </w:tabs>
        <w:suppressAutoHyphens w:val="true"/>
        <w:jc w:val="both"/>
        <w:rPr>
          <w:b/>
          <w:spacing w:val="-2"/>
          <w:sz w:val="20"/>
          <w:lang w:val="en-US"/>
          <w:del w:id="5" w:author="cstclai" w:date="2002-02-03T13:50:00Z"/>
        </w:rPr>
      </w:pPr>
      <w:del w:id="4" w:author="cstclai" w:date="2002-02-03T13:50:00Z">
        <w:r>
          <w:rPr>
            <w:b/>
            <w:spacing w:val="-2"/>
            <w:sz w:val="20"/>
            <w:lang w:val="en-US"/>
          </w:rPr>
          <w:delText>[CHOOSE EITHER]</w:delText>
        </w:r>
      </w:del>
    </w:p>
    <w:p>
      <w:pPr>
        <w:pStyle w:val="Normal"/>
        <w:tabs>
          <w:tab w:val="clear" w:pos="720"/>
          <w:tab w:val="left" w:pos="-720" w:leader="none"/>
        </w:tabs>
        <w:suppressAutoHyphens w:val="true"/>
        <w:jc w:val="both"/>
        <w:rPr>
          <w:b/>
          <w:spacing w:val="-2"/>
          <w:sz w:val="20"/>
          <w:lang w:val="en-US"/>
        </w:rPr>
      </w:pPr>
      <w:r>
        <w:rPr>
          <w:b/>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ab/>
        <w:t>(i)</w:t>
      </w:r>
      <w:r>
        <w:rPr>
          <w:b/>
          <w:i/>
          <w:spacing w:val="-2"/>
          <w:sz w:val="20"/>
          <w:lang w:val="en-US"/>
        </w:rPr>
        <w:tab/>
        <w:t>Eligibility to Hold Posted Collateral; Custodians.</w:t>
      </w:r>
      <w:r>
        <w:rPr>
          <w:spacing w:val="-2"/>
          <w:sz w:val="20"/>
          <w:lang w:val="en-US"/>
        </w:rPr>
        <w:t xml:space="preserve">  Party A and its Custodian will be entitled to hold Posted Collateral pursuant to Paragraph 6(b); </w:t>
      </w:r>
      <w:r>
        <w:rPr>
          <w:i/>
          <w:spacing w:val="-2"/>
          <w:sz w:val="20"/>
          <w:lang w:val="en-US"/>
        </w:rPr>
        <w:t>provided</w:t>
      </w:r>
      <w:r>
        <w:rPr>
          <w:spacing w:val="-2"/>
          <w:sz w:val="20"/>
          <w:lang w:val="en-US"/>
        </w:rPr>
        <w:t xml:space="preserve"> that the following conditions applicable to it are satisfied:</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(A)</w:t>
        <w:tab/>
        <w:t xml:space="preserve">Party A is not a Defaulting Party.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2"/>
        </w:numPr>
        <w:tabs>
          <w:tab w:val="left" w:pos="-720" w:leader="none"/>
          <w:tab w:val="left" w:pos="0" w:leader="none"/>
          <w:tab w:val="left" w:pos="720" w:leader="none"/>
          <w:tab w:val="left" w:pos="1440" w:leader="none"/>
        </w:tabs>
        <w:suppressAutoHyphens w:val="true"/>
        <w:jc w:val="both"/>
        <w:rPr>
          <w:spacing w:val="-2"/>
          <w:sz w:val="20"/>
          <w:lang w:val="en-US"/>
        </w:rPr>
      </w:pPr>
      <w:r>
        <w:rPr>
          <w:spacing w:val="-2"/>
          <w:sz w:val="20"/>
          <w:lang w:val="en-US"/>
        </w:rPr>
        <w:t>Any Custodian appointed by Party A must be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p>
    <w:p>
      <w:pPr>
        <w:pStyle w:val="Normal"/>
        <w:tabs>
          <w:tab w:val="left" w:pos="-720" w:leader="none"/>
          <w:tab w:val="left" w:pos="0" w:leader="none"/>
          <w:tab w:val="left" w:pos="720" w:leader="none"/>
          <w:tab w:val="left" w:pos="1440" w:leader="none"/>
        </w:tabs>
        <w:suppressAutoHyphens w:val="true"/>
        <w:ind w:start="144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(C)</w:t>
        <w:tab/>
        <w:t>Posted Collateral may only be held in one or more accounts in the United States and any account established by Party A, as applicable, or its Custodian to hold Posted Collateral shall be established and maintained for the sole purpose of receiving deliveries of and holding Posted Collateral.</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(D)</w:t>
        <w:tab/>
        <w:t>If Party A itself or a Custodian appointed by it at any time may not hold Posted Collateral consistent with this Paragraph 13(g) or elects not to do so, Party A shall promptly give notice to Party B.</w:t>
      </w:r>
    </w:p>
    <w:p>
      <w:pPr>
        <w:pStyle w:val="Normal"/>
        <w:tabs>
          <w:tab w:val="left" w:pos="-720" w:leader="none"/>
          <w:tab w:val="left" w:pos="0" w:leader="none"/>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spacing w:val="-2"/>
          <w:sz w:val="20"/>
          <w:lang w:val="en-US"/>
        </w:rPr>
      </w:pPr>
      <w:r>
        <w:rPr>
          <w:spacing w:val="-2"/>
          <w:sz w:val="20"/>
          <w:lang w:val="en-US"/>
        </w:rPr>
        <w:tab/>
        <w:t xml:space="preserve"> </w:t>
      </w:r>
    </w:p>
    <w:p>
      <w:pPr>
        <w:pStyle w:val="Normal"/>
        <w:ind w:start="1080" w:end="0"/>
        <w:jc w:val="both"/>
        <w:rPr>
          <w:color w:val="000000"/>
          <w:spacing w:val="-2"/>
          <w:sz w:val="20"/>
          <w:lang w:val="en-US"/>
        </w:rPr>
      </w:pPr>
      <w:r>
        <w:rPr>
          <w:color w:val="000000"/>
          <w:spacing w:val="-2"/>
          <w:sz w:val="20"/>
          <w:lang w:val="en-US"/>
        </w:rPr>
      </w:r>
    </w:p>
    <w:p>
      <w:pPr>
        <w:pStyle w:val="BodyTextIndent3"/>
        <w:ind w:hanging="0" w:end="0"/>
        <w:rPr/>
      </w:pPr>
      <w:r>
        <w:rPr>
          <w:rFonts w:cs="Helvetica" w:ascii="Helvetica" w:hAnsi="Helvetica"/>
          <w:color w:val="000000"/>
          <w:sz w:val="20"/>
        </w:rPr>
        <w:t xml:space="preserve">If  Party A or its Custodian is not eligible to hold </w:t>
      </w:r>
      <w:del w:id="6" w:author="cstclai" w:date="2002-02-03T13:50:00Z">
        <w:r>
          <w:rPr>
            <w:rFonts w:cs="Helvetica" w:ascii="Helvetica" w:hAnsi="Helvetica"/>
            <w:color w:val="000000"/>
            <w:sz w:val="20"/>
          </w:rPr>
          <w:delText>Eligible</w:delText>
        </w:r>
      </w:del>
      <w:ins w:id="7" w:author="cstclai" w:date="2002-02-03T13:50:00Z">
        <w:r>
          <w:rPr>
            <w:rFonts w:cs="Helvetica" w:ascii="Helvetica" w:hAnsi="Helvetica"/>
            <w:color w:val="000000"/>
            <w:sz w:val="20"/>
          </w:rPr>
          <w:t>Posted</w:t>
        </w:r>
      </w:ins>
      <w:r>
        <w:rPr>
          <w:rFonts w:cs="Helvetica" w:ascii="Helvetica" w:hAnsi="Helvetica"/>
          <w:color w:val="000000"/>
          <w:sz w:val="20"/>
        </w:rPr>
        <w:t xml:space="preserve"> Collateral pursuant to this Section, then it shall be considered a “Downgraded Party” or a “Downgraded Custodian”, as the case may be (as defined in Paragraph 13(g)(ii)) and </w:t>
      </w:r>
      <w:del w:id="8" w:author="cstclai" w:date="2002-02-03T13:50:00Z">
        <w:r>
          <w:rPr>
            <w:rFonts w:cs="Helvetica" w:ascii="Helvetica" w:hAnsi="Helvetica"/>
            <w:color w:val="000000"/>
            <w:sz w:val="20"/>
          </w:rPr>
          <w:delText>Eligible</w:delText>
        </w:r>
      </w:del>
      <w:ins w:id="9" w:author="cstclai" w:date="2002-02-03T13:50:00Z">
        <w:r>
          <w:rPr>
            <w:rFonts w:cs="Helvetica" w:ascii="Helvetica" w:hAnsi="Helvetica"/>
            <w:color w:val="000000"/>
            <w:sz w:val="20"/>
          </w:rPr>
          <w:t>Posted</w:t>
        </w:r>
      </w:ins>
      <w:r>
        <w:rPr>
          <w:rFonts w:cs="Helvetica" w:ascii="Helvetica" w:hAnsi="Helvetica"/>
          <w:color w:val="000000"/>
          <w:sz w:val="20"/>
        </w:rPr>
        <w:t xml:space="preserve"> Collateral shall be maintained in accordance with Paragraph 13(g)(ii).</w:t>
      </w:r>
    </w:p>
    <w:p>
      <w:pPr>
        <w:pStyle w:val="Normal"/>
        <w:keepNext w:val="true"/>
        <w:ind w:start="720" w:end="0"/>
        <w:jc w:val="both"/>
        <w:rPr>
          <w:rFonts w:ascii="Helvetica" w:hAnsi="Helvetica" w:cs="Helvetica"/>
          <w:color w:val="000000"/>
          <w:sz w:val="20"/>
        </w:rPr>
      </w:pPr>
      <w:r>
        <w:rPr>
          <w:rFonts w:cs="Helvetica"/>
          <w:color w:val="000000"/>
          <w:sz w:val="20"/>
        </w:rPr>
      </w:r>
    </w:p>
    <w:p>
      <w:pPr>
        <w:pStyle w:val="Normal"/>
        <w:keepNext w:val="true"/>
        <w:ind w:start="720" w:end="0"/>
        <w:jc w:val="both"/>
        <w:rPr>
          <w:color w:val="000000"/>
          <w:sz w:val="20"/>
        </w:rPr>
      </w:pPr>
      <w:r>
        <w:rPr>
          <w:color w:val="000000"/>
          <w:sz w:val="20"/>
        </w:rPr>
      </w:r>
    </w:p>
    <w:p>
      <w:pPr>
        <w:pStyle w:val="Normal"/>
        <w:keepNext w:val="true"/>
        <w:ind w:start="720" w:end="0"/>
        <w:jc w:val="both"/>
        <w:rPr>
          <w:sz w:val="20"/>
        </w:rPr>
      </w:pPr>
      <w:r>
        <w:rPr>
          <w:sz w:val="20"/>
        </w:rPr>
        <w:t xml:space="preserve">(ii)  </w:t>
      </w:r>
      <w:r>
        <w:rPr>
          <w:b/>
          <w:sz w:val="20"/>
        </w:rPr>
        <w:t xml:space="preserve">Use of </w:t>
      </w:r>
      <w:del w:id="10" w:author="cstclai" w:date="2002-02-03T13:50:00Z">
        <w:r>
          <w:rPr>
            <w:b/>
            <w:sz w:val="20"/>
          </w:rPr>
          <w:delText>Eligible</w:delText>
        </w:r>
      </w:del>
      <w:ins w:id="11" w:author="cstclai" w:date="2002-02-03T13:50:00Z">
        <w:r>
          <w:rPr>
            <w:b/>
            <w:sz w:val="20"/>
          </w:rPr>
          <w:t>Posted</w:t>
        </w:r>
      </w:ins>
      <w:r>
        <w:rPr>
          <w:b/>
          <w:sz w:val="20"/>
        </w:rPr>
        <w:t xml:space="preserve"> Collateral.</w:t>
      </w:r>
    </w:p>
    <w:p>
      <w:pPr>
        <w:pStyle w:val="Normal"/>
        <w:keepNext w:val="true"/>
        <w:ind w:start="720" w:end="0"/>
        <w:jc w:val="both"/>
        <w:rPr>
          <w:sz w:val="20"/>
        </w:rPr>
      </w:pPr>
      <w:r>
        <w:rPr>
          <w:sz w:val="20"/>
        </w:rPr>
      </w:r>
    </w:p>
    <w:p>
      <w:pPr>
        <w:pStyle w:val="Normal"/>
        <w:keepNext w:val="true"/>
        <w:ind w:start="720" w:end="0"/>
        <w:jc w:val="both"/>
        <w:rPr/>
      </w:pPr>
      <w:r>
        <w:rPr>
          <w:sz w:val="20"/>
        </w:rPr>
        <w:t xml:space="preserve">The provisions of Paragraph 6(c) will apply to Party A; </w:t>
      </w:r>
      <w:r>
        <w:rPr>
          <w:sz w:val="20"/>
          <w:u w:val="single"/>
        </w:rPr>
        <w:t>provided</w:t>
      </w:r>
      <w:r>
        <w:rPr>
          <w:sz w:val="20"/>
        </w:rPr>
        <w:t xml:space="preserve">, </w:t>
      </w:r>
      <w:r>
        <w:rPr>
          <w:sz w:val="20"/>
          <w:u w:val="single"/>
        </w:rPr>
        <w:t>however</w:t>
      </w:r>
      <w:r>
        <w:rPr>
          <w:sz w:val="20"/>
        </w:rPr>
        <w:t xml:space="preserve">, that if Party A or its Custodian is not eligible to hold </w:t>
      </w:r>
      <w:del w:id="12" w:author="cstclai" w:date="2002-02-03T13:50:00Z">
        <w:r>
          <w:rPr>
            <w:sz w:val="20"/>
          </w:rPr>
          <w:delText>Eligible</w:delText>
        </w:r>
      </w:del>
      <w:ins w:id="13" w:author="cstclai" w:date="2002-02-03T13:50:00Z">
        <w:r>
          <w:rPr>
            <w:sz w:val="20"/>
          </w:rPr>
          <w:t>Posted</w:t>
        </w:r>
      </w:ins>
      <w:r>
        <w:rPr>
          <w:sz w:val="20"/>
        </w:rPr>
        <w:t xml:space="preserve"> Collateral pursuant to Paragraph 13(g)(i) (the event that caused it or its Custodian, if any, to be ineligible to hold Posted Collateral shall be a </w:t>
      </w:r>
      <w:r>
        <w:rPr>
          <w:b/>
          <w:sz w:val="20"/>
        </w:rPr>
        <w:t>“Credit Rating Event”</w:t>
      </w:r>
      <w:r>
        <w:rPr>
          <w:sz w:val="20"/>
        </w:rPr>
        <w:t>; if such Credit Rating Event occurs with respect to Party A, Party A</w:t>
      </w:r>
      <w:r>
        <w:rPr>
          <w:color w:val="FF0000"/>
          <w:sz w:val="20"/>
        </w:rPr>
        <w:t xml:space="preserve"> </w:t>
      </w:r>
      <w:r>
        <w:rPr>
          <w:sz w:val="20"/>
        </w:rPr>
        <w:t>shall be the “Downgraded Party”; and if such Credit Rating Event occurs with respect to Party A’s Custodian, such Custodian shall be the “Downgraded Custodian”), then:</w:t>
      </w:r>
    </w:p>
    <w:p>
      <w:pPr>
        <w:pStyle w:val="Normal"/>
        <w:keepNext w:val="true"/>
        <w:ind w:hanging="720" w:start="2160" w:end="0"/>
        <w:jc w:val="both"/>
        <w:rPr>
          <w:sz w:val="20"/>
        </w:rPr>
      </w:pPr>
      <w:r>
        <w:rPr>
          <w:sz w:val="20"/>
        </w:rPr>
      </w:r>
    </w:p>
    <w:p>
      <w:pPr>
        <w:pStyle w:val="Normal"/>
        <w:ind w:start="1440" w:end="0"/>
        <w:jc w:val="both"/>
        <w:rPr>
          <w:sz w:val="20"/>
        </w:rPr>
      </w:pPr>
      <w:r>
        <w:rPr>
          <w:sz w:val="20"/>
        </w:rPr>
        <w:t>(1)  the provisions of Paragraph 6(c) will not apply with respect to the Downgraded Party as the Secured Party for so long as either the Secured Party or its Custodian, if any, remain a Downgraded Party or a Downgraded Custodian, respectively.</w:t>
      </w:r>
    </w:p>
    <w:p>
      <w:pPr>
        <w:pStyle w:val="Normal"/>
        <w:ind w:start="1440" w:end="0"/>
        <w:jc w:val="both"/>
        <w:rPr>
          <w:sz w:val="20"/>
        </w:rPr>
      </w:pPr>
      <w:r>
        <w:rPr>
          <w:sz w:val="20"/>
        </w:rPr>
      </w:r>
    </w:p>
    <w:p>
      <w:pPr>
        <w:pStyle w:val="Normal"/>
        <w:tabs>
          <w:tab w:val="left" w:pos="-720" w:leader="none"/>
          <w:tab w:val="left" w:pos="0" w:leader="none"/>
          <w:tab w:val="left" w:pos="720" w:leader="none"/>
          <w:tab w:val="left" w:pos="1440" w:leader="none"/>
        </w:tabs>
        <w:suppressAutoHyphens w:val="true"/>
        <w:ind w:start="1440" w:end="0"/>
        <w:jc w:val="both"/>
        <w:rPr/>
      </w:pPr>
      <w:r>
        <w:rPr>
          <w:sz w:val="20"/>
        </w:rPr>
        <w:t xml:space="preserve">(2)  the Downgraded Party shall be required to deliver (or cause the Downgraded Custodian to deliver, as the case may be) not later than the close of business on the second Local Business Day following such Credit Rating Event all </w:t>
      </w:r>
      <w:del w:id="14" w:author="cstclai" w:date="2002-02-03T13:50:00Z">
        <w:r>
          <w:rPr>
            <w:sz w:val="20"/>
          </w:rPr>
          <w:delText>Eligible</w:delText>
        </w:r>
      </w:del>
      <w:ins w:id="15" w:author="cstclai" w:date="2002-02-03T13:50:00Z">
        <w:r>
          <w:rPr>
            <w:sz w:val="20"/>
          </w:rPr>
          <w:t>Posted</w:t>
        </w:r>
      </w:ins>
      <w:r>
        <w:rPr>
          <w:sz w:val="20"/>
        </w:rPr>
        <w:t xml:space="preserve"> Collateral in its possession or held on its behalf to a </w:t>
      </w:r>
      <w:r>
        <w:rPr>
          <w:spacing w:val="-2"/>
          <w:sz w:val="20"/>
          <w:lang w:val="en-US"/>
        </w:rPr>
        <w:t>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r>
        <w:rPr>
          <w:sz w:val="20"/>
        </w:rPr>
        <w:t xml:space="preserve"> (</w:t>
      </w:r>
      <w:r>
        <w:rPr>
          <w:b/>
          <w:sz w:val="20"/>
        </w:rPr>
        <w:t>“Qualified Institution”</w:t>
      </w:r>
      <w:r>
        <w:rPr>
          <w:sz w:val="20"/>
        </w:rPr>
        <w:t>) to a segregated, safekeeping or custody account (</w:t>
      </w:r>
      <w:r>
        <w:rPr>
          <w:b/>
          <w:sz w:val="20"/>
        </w:rPr>
        <w:t>“Collateral Account”</w:t>
      </w:r>
      <w:r>
        <w:rPr>
          <w:sz w:val="20"/>
        </w:rPr>
        <w:t xml:space="preserve">) within such Qualified Institution with the title of the Collateral Account indicating that the property contained therein is being held as </w:t>
      </w:r>
      <w:del w:id="16" w:author="cstclai" w:date="2002-02-03T13:50:00Z">
        <w:r>
          <w:rPr>
            <w:sz w:val="20"/>
          </w:rPr>
          <w:delText>Eligible</w:delText>
        </w:r>
      </w:del>
      <w:ins w:id="17" w:author="cstclai" w:date="2002-02-03T13:50:00Z">
        <w:r>
          <w:rPr>
            <w:sz w:val="20"/>
          </w:rPr>
          <w:t>Posted</w:t>
        </w:r>
      </w:ins>
      <w:r>
        <w:rPr>
          <w:sz w:val="20"/>
        </w:rPr>
        <w:t xml:space="preserve"> Collateral for the Downgraded Party; </w:t>
      </w:r>
      <w:r>
        <w:rPr>
          <w:sz w:val="20"/>
          <w:u w:val="single"/>
        </w:rPr>
        <w:t>provided, that</w:t>
      </w:r>
      <w:r>
        <w:rPr>
          <w:sz w:val="20"/>
        </w:rPr>
        <w:t xml:space="preserve">, if the Credit Rating Event occurs with respect to a Party A’s Custodian that is holding </w:t>
      </w:r>
      <w:del w:id="18" w:author="cstclai" w:date="2002-02-03T13:50:00Z">
        <w:r>
          <w:rPr>
            <w:sz w:val="20"/>
          </w:rPr>
          <w:delText>Eligible</w:delText>
        </w:r>
      </w:del>
      <w:ins w:id="19" w:author="cstclai" w:date="2002-02-03T13:50:00Z">
        <w:r>
          <w:rPr>
            <w:sz w:val="20"/>
          </w:rPr>
          <w:t>Posted</w:t>
        </w:r>
      </w:ins>
      <w:r>
        <w:rPr>
          <w:sz w:val="20"/>
        </w:rPr>
        <w:t xml:space="preserve"> Collateral on behalf of Party A, then such Downgraded Custodian may also deliver such </w:t>
      </w:r>
      <w:del w:id="20" w:author="cstclai" w:date="2002-02-03T13:50:00Z">
        <w:r>
          <w:rPr>
            <w:sz w:val="20"/>
          </w:rPr>
          <w:delText>Eligible</w:delText>
        </w:r>
      </w:del>
      <w:ins w:id="21" w:author="cstclai" w:date="2002-02-03T13:50:00Z">
        <w:r>
          <w:rPr>
            <w:sz w:val="20"/>
          </w:rPr>
          <w:t>Posted</w:t>
        </w:r>
      </w:ins>
      <w:r>
        <w:rPr>
          <w:sz w:val="20"/>
        </w:rPr>
        <w:t xml:space="preserve"> Collateral to</w:t>
      </w:r>
      <w:r>
        <w:rPr>
          <w:color w:val="FF0000"/>
          <w:sz w:val="20"/>
        </w:rPr>
        <w:t xml:space="preserve"> P</w:t>
      </w:r>
      <w:r>
        <w:rPr>
          <w:sz w:val="20"/>
        </w:rPr>
        <w:t xml:space="preserve">arty A if Party A is not a Downgraded Party.  The Qualified Institution shall serve as Custodian with respect to the </w:t>
      </w:r>
      <w:del w:id="22" w:author="cstclai" w:date="2002-02-03T13:50:00Z">
        <w:r>
          <w:rPr>
            <w:sz w:val="20"/>
          </w:rPr>
          <w:delText>Eligible</w:delText>
        </w:r>
      </w:del>
      <w:ins w:id="23" w:author="cstclai" w:date="2002-02-03T13:50:00Z">
        <w:r>
          <w:rPr>
            <w:sz w:val="20"/>
          </w:rPr>
          <w:t>Posted</w:t>
        </w:r>
      </w:ins>
      <w:r>
        <w:rPr>
          <w:sz w:val="20"/>
        </w:rPr>
        <w:t xml:space="preserve"> Collateral in the Collateral Account, and shall hold such </w:t>
      </w:r>
      <w:del w:id="24" w:author="cstclai" w:date="2002-02-03T13:50:00Z">
        <w:r>
          <w:rPr>
            <w:sz w:val="20"/>
          </w:rPr>
          <w:delText>Eligible</w:delText>
        </w:r>
      </w:del>
      <w:ins w:id="25" w:author="cstclai" w:date="2002-02-03T13:50:00Z">
        <w:r>
          <w:rPr>
            <w:sz w:val="20"/>
          </w:rPr>
          <w:t>Posted</w:t>
        </w:r>
      </w:ins>
      <w:r>
        <w:rPr>
          <w:sz w:val="20"/>
        </w:rPr>
        <w:t xml:space="preserve"> Collateral in accordance with the terms of this Annex and for the security interest of the Downgraded Party and, subject to such security interest, for the ownership of Party B.</w:t>
      </w:r>
    </w:p>
    <w:p>
      <w:pPr>
        <w:pStyle w:val="Normal"/>
        <w:ind w:start="1080" w:end="0"/>
        <w:jc w:val="both"/>
        <w:rPr>
          <w:sz w:val="20"/>
        </w:rPr>
      </w:pPr>
      <w:r>
        <w:rPr>
          <w:sz w:val="20"/>
        </w:rPr>
      </w:r>
    </w:p>
    <w:p>
      <w:pPr>
        <w:pStyle w:val="Normal"/>
        <w:ind w:start="1440" w:end="0"/>
        <w:jc w:val="both"/>
        <w:rPr/>
      </w:pPr>
      <w:r>
        <w:rPr>
          <w:sz w:val="20"/>
        </w:rPr>
        <w:t xml:space="preserve">(3)   So long as the provisions of Paragraph 6(c) do not apply, the Qualified Institution holding the </w:t>
      </w:r>
      <w:del w:id="26" w:author="cstclai" w:date="2002-02-03T13:50:00Z">
        <w:r>
          <w:rPr>
            <w:sz w:val="20"/>
          </w:rPr>
          <w:delText>Eligible</w:delText>
        </w:r>
      </w:del>
      <w:ins w:id="27" w:author="cstclai" w:date="2002-02-03T13:50:00Z">
        <w:r>
          <w:rPr>
            <w:sz w:val="20"/>
          </w:rPr>
          <w:t>Posted</w:t>
        </w:r>
      </w:ins>
      <w:r>
        <w:rPr>
          <w:sz w:val="20"/>
        </w:rPr>
        <w:t xml:space="preserve"> Collateral will invest and reinvest or procure the investment and reinvestment of the </w:t>
      </w:r>
      <w:del w:id="28" w:author="cstclai" w:date="2002-02-03T13:50:00Z">
        <w:r>
          <w:rPr>
            <w:sz w:val="20"/>
          </w:rPr>
          <w:delText>Eligible</w:delText>
        </w:r>
      </w:del>
      <w:ins w:id="29" w:author="cstclai" w:date="2002-02-03T13:50:00Z">
        <w:r>
          <w:rPr>
            <w:sz w:val="20"/>
          </w:rPr>
          <w:t>Posted</w:t>
        </w:r>
      </w:ins>
      <w:r>
        <w:rPr>
          <w:sz w:val="20"/>
        </w:rPr>
        <w:t xml:space="preserve"> Collateral in accordance with the written instructions of the Pledgor, subject to the approval of such instructions by the Secured Party (which approval shall not be unreasonably withheld). The Secured Party shall have no responsibility for any losses resulting from any investment or reinvestment effected in accordance with the Pledgor’s instructions.</w:t>
      </w:r>
      <w:r>
        <w:rPr>
          <w:color w:val="000000"/>
          <w:sz w:val="20"/>
        </w:rPr>
        <w:t xml:space="preserve"> </w:t>
      </w:r>
    </w:p>
    <w:p>
      <w:pPr>
        <w:pStyle w:val="Normal"/>
        <w:ind w:start="1440" w:end="0"/>
        <w:jc w:val="both"/>
        <w:rPr>
          <w:rFonts w:eastAsia="Helvetica"/>
          <w:color w:val="000000"/>
          <w:sz w:val="20"/>
        </w:rPr>
      </w:pPr>
      <w:r>
        <w:rPr>
          <w:rFonts w:eastAsia="Helvetica"/>
          <w:color w:val="000000"/>
          <w:sz w:val="20"/>
        </w:rPr>
        <w:t xml:space="preserve"> </w:t>
      </w:r>
    </w:p>
    <w:p>
      <w:pPr>
        <w:pStyle w:val="BodyTextIndent2"/>
        <w:rPr/>
      </w:pPr>
      <w:r>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w:t>
      </w:r>
      <w:r>
        <w:rPr>
          <w:b/>
          <w:i/>
          <w:spacing w:val="-2"/>
          <w:sz w:val="20"/>
          <w:lang w:val="en-US"/>
        </w:rPr>
        <w:tab/>
      </w:r>
      <w:r>
        <w:rPr>
          <w:spacing w:val="-2"/>
          <w:sz w:val="20"/>
          <w:lang w:val="en-US"/>
        </w:rPr>
        <w:t xml:space="preserve">The provisions of Paragraph 6(c) will apply to Party A. </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(h)</w:t>
      </w:r>
      <w:r>
        <w:rPr>
          <w:b/>
          <w:i/>
          <w:spacing w:val="-2"/>
          <w:sz w:val="20"/>
          <w:lang w:val="en-US"/>
        </w:rPr>
        <w:tab/>
        <w:t>Distributions and Interest Amount</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w:t>
      </w:r>
      <w:r>
        <w:rPr>
          <w:b/>
          <w:i/>
          <w:spacing w:val="-2"/>
          <w:sz w:val="20"/>
          <w:lang w:val="en-US"/>
        </w:rPr>
        <w:tab/>
        <w:t>Interest Rate</w:t>
      </w:r>
      <w:r>
        <w:rPr>
          <w:spacing w:val="-2"/>
          <w:sz w:val="20"/>
          <w:lang w:val="en-US"/>
        </w:rPr>
        <w:t>.  The "</w:t>
      </w:r>
      <w:r>
        <w:rPr>
          <w:b/>
          <w:i/>
          <w:spacing w:val="-2"/>
          <w:sz w:val="20"/>
          <w:lang w:val="en-US"/>
        </w:rPr>
        <w:t>Interest Rate"</w:t>
      </w:r>
      <w:r>
        <w:rPr>
          <w:spacing w:val="-2"/>
          <w:sz w:val="20"/>
          <w:lang w:val="en-US"/>
        </w:rPr>
        <w:t xml:space="preserve"> will be the rate per annum equal to the overnight Federal Funds Rate for each day cash is held by the Secured Party as reported In Federal Reserve Publication H.15-519.</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w:t>
      </w:r>
      <w:r>
        <w:rPr>
          <w:b/>
          <w:i/>
          <w:spacing w:val="-2"/>
          <w:sz w:val="20"/>
          <w:lang w:val="en-US"/>
        </w:rPr>
        <w:tab/>
        <w:t>Transfer of Interest Amount</w:t>
      </w:r>
      <w:r>
        <w:rPr>
          <w:spacing w:val="-2"/>
          <w:sz w:val="20"/>
          <w:lang w:val="en-US"/>
        </w:rPr>
        <w:t>.  The Transfer of the Interest Amount will be made on the first Local Business Day of each calendar month.</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(iii)</w:t>
      </w:r>
      <w:r>
        <w:rPr>
          <w:b/>
          <w:i/>
          <w:spacing w:val="-2"/>
          <w:sz w:val="20"/>
          <w:lang w:val="en-US"/>
        </w:rPr>
        <w:tab/>
        <w:t>Alternative to Interest Amount.</w:t>
      </w:r>
      <w:r>
        <w:rPr>
          <w:spacing w:val="-2"/>
          <w:sz w:val="20"/>
          <w:lang w:val="en-US"/>
        </w:rPr>
        <w:t xml:space="preserve">  The provisions of Paragraph 6(d)(ii) will apply.</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(i)</w:t>
      </w:r>
      <w:r>
        <w:rPr>
          <w:b/>
          <w:i/>
          <w:spacing w:val="-2"/>
          <w:sz w:val="20"/>
          <w:lang w:val="en-US"/>
        </w:rPr>
        <w:tab/>
        <w:t>Additional Representation(s).</w:t>
      </w:r>
      <w:r>
        <w:rPr>
          <w:spacing w:val="-2"/>
          <w:sz w:val="20"/>
          <w:lang w:val="en-US"/>
        </w:rPr>
        <w:t xml:space="preserve">  Party B represents to Party A that in connection with the delivery, issuance, renewal, substitution, or increase (as the case may be</w:t>
      </w:r>
      <w:ins w:id="30" w:author="cstclai" w:date="2002-02-03T13:50:00Z">
        <w:r>
          <w:rPr>
            <w:spacing w:val="-2"/>
            <w:sz w:val="20"/>
            <w:lang w:val="en-US"/>
          </w:rPr>
          <w:t>)</w:t>
        </w:r>
      </w:ins>
      <w:r>
        <w:rPr>
          <w:spacing w:val="-2"/>
          <w:sz w:val="20"/>
          <w:lang w:val="en-US"/>
        </w:rPr>
        <w:t xml:space="preserve"> which constitutes a Transfer of a Letter of Credit as Other Posted Support, such Letter of Credit is the legal, valid and binding obligation of the Issuer thereof, enforceable in accordance with its terms.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(j)</w:t>
      </w:r>
      <w:r>
        <w:rPr>
          <w:b/>
          <w:i/>
          <w:spacing w:val="-2"/>
          <w:sz w:val="20"/>
          <w:lang w:val="en-US"/>
        </w:rPr>
        <w:tab/>
        <w:t>Other Eligible Support and Other Posted Support.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ind w:start="720" w:end="0"/>
        <w:jc w:val="both"/>
        <w:rPr/>
      </w:pPr>
      <w:r>
        <w:rPr>
          <w:color w:val="000000"/>
          <w:sz w:val="20"/>
        </w:rPr>
        <w:t xml:space="preserve">(i)  </w:t>
      </w:r>
      <w:r>
        <w:rPr>
          <w:b/>
          <w:color w:val="000000"/>
          <w:sz w:val="20"/>
        </w:rPr>
        <w:t>“Value”</w:t>
      </w:r>
      <w:r>
        <w:rPr>
          <w:color w:val="000000"/>
          <w:sz w:val="20"/>
        </w:rPr>
        <w:t xml:space="preserve"> with respect to Other Eligible Support and Other Posted Support means:  The Valuation Percentage times the stated amount then available under the Letter of Credit which can be unconditionally drawn by the Secured Party.</w:t>
      </w:r>
    </w:p>
    <w:p>
      <w:pPr>
        <w:pStyle w:val="Normal"/>
        <w:ind w:start="720" w:end="0"/>
        <w:jc w:val="both"/>
        <w:rPr>
          <w:color w:val="000000"/>
          <w:sz w:val="20"/>
        </w:rPr>
      </w:pPr>
      <w:r>
        <w:rPr>
          <w:color w:val="000000"/>
          <w:sz w:val="20"/>
        </w:rPr>
      </w:r>
    </w:p>
    <w:p>
      <w:pPr>
        <w:pStyle w:val="Normal"/>
        <w:ind w:start="720" w:end="0"/>
        <w:jc w:val="both"/>
        <w:rPr/>
      </w:pPr>
      <w:r>
        <w:rPr>
          <w:color w:val="000000"/>
          <w:sz w:val="20"/>
        </w:rPr>
        <w:t xml:space="preserve">(ii)  </w:t>
      </w:r>
      <w:r>
        <w:rPr>
          <w:b/>
          <w:color w:val="000000"/>
          <w:sz w:val="20"/>
        </w:rPr>
        <w:t>“Transfer”</w:t>
      </w:r>
      <w:r>
        <w:rPr>
          <w:color w:val="000000"/>
          <w:sz w:val="20"/>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0"/>
        </w:rPr>
      </w:pPr>
      <w:r>
        <w:rPr>
          <w:color w:val="000000"/>
          <w:sz w:val="20"/>
        </w:rPr>
      </w:r>
    </w:p>
    <w:p>
      <w:pPr>
        <w:pStyle w:val="Normal"/>
        <w:ind w:start="720" w:end="0"/>
        <w:jc w:val="both"/>
        <w:rPr/>
      </w:pPr>
      <w:r>
        <w:rPr>
          <w:color w:val="000000"/>
          <w:sz w:val="20"/>
        </w:rPr>
        <w:t xml:space="preserve">(iii)  All Other Eligible Support and Other Posted Support consisting of Letters of Credit shall be issued and maintained in accordance with the provisions set forth in </w:t>
      </w:r>
      <w:r>
        <w:rPr>
          <w:color w:val="000000"/>
          <w:sz w:val="20"/>
          <w:u w:val="single"/>
        </w:rPr>
        <w:t>Exhibit A</w:t>
      </w:r>
      <w:r>
        <w:rPr>
          <w:color w:val="000000"/>
          <w:sz w:val="20"/>
        </w:rPr>
        <w:t xml:space="preserve"> and </w:t>
      </w:r>
      <w:r>
        <w:rPr>
          <w:color w:val="000000"/>
          <w:sz w:val="20"/>
          <w:u w:val="single"/>
        </w:rPr>
        <w:t>Schedule 1</w:t>
      </w:r>
      <w:r>
        <w:rPr>
          <w:color w:val="000000"/>
          <w:sz w:val="20"/>
        </w:rPr>
        <w:t xml:space="preserve"> attached hereto.</w:t>
      </w:r>
    </w:p>
    <w:p>
      <w:pPr>
        <w:pStyle w:val="Normal"/>
        <w:tabs>
          <w:tab w:val="left" w:pos="-720" w:leader="none"/>
          <w:tab w:val="left" w:pos="0" w:leader="none"/>
          <w:tab w:val="left" w:pos="720" w:leader="none"/>
        </w:tabs>
        <w:suppressAutoHyphens w:val="true"/>
        <w:ind w:hanging="1440" w:start="1440" w:end="1413"/>
        <w:jc w:val="both"/>
        <w:rPr>
          <w:color w:val="000000"/>
          <w:spacing w:val="-2"/>
          <w:sz w:val="20"/>
          <w:lang w:val="en-US"/>
        </w:rPr>
      </w:pPr>
      <w:r>
        <w:rPr>
          <w:color w:val="000000"/>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27"/>
        <w:jc w:val="both"/>
        <w:rPr/>
      </w:pPr>
      <w:r>
        <w:rPr>
          <w:spacing w:val="-2"/>
          <w:sz w:val="20"/>
          <w:lang w:val="en-US"/>
        </w:rPr>
        <w:t>(k)</w:t>
      </w:r>
      <w:r>
        <w:rPr>
          <w:b/>
          <w:i/>
          <w:spacing w:val="-2"/>
          <w:sz w:val="20"/>
          <w:lang w:val="en-US"/>
        </w:rPr>
        <w:tab/>
        <w:t>Demands and Notices.</w:t>
      </w:r>
      <w:r>
        <w:rPr>
          <w:spacing w:val="-2"/>
          <w:sz w:val="20"/>
          <w:lang w:val="en-US"/>
        </w:rPr>
        <w:t xml:space="preserve">  Any demand, specification or notice under this Annex (each, a "Notice"), other than a Notice pursuant to Paragraph 4(d), may be delivered orally, including by telephone.  If such Notice is delivered orally, such oral Notice shall be confirmed promptly in writing (a "Notice Confirmation") by tested telex, facsimile or actual delivery.  Failure to provide that Notice Confirmation will not affect the validity of that oral Notice.  All Notices shall be delivered to the following addresses: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ab/>
        <w:t>With respect to Party A:</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UBS AG, Stamford Branch</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 xml:space="preserve">Collateral Management </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677 Washington Boulevard, Stamford, CT, 06901</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Attention:  Margin Specialist</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Facsimile:  (203) 719-4955</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Telephone:  (203) 719-6116</w:t>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tab/>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tab/>
        <w:t xml:space="preserve">With respect to Party B: </w:t>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0"/>
          <w:lang w:val="en-US"/>
        </w:rPr>
        <w:tab/>
      </w:r>
      <w:r>
        <w:rPr>
          <w:b/>
          <w:i/>
          <w:spacing w:val="-2"/>
          <w:sz w:val="20"/>
          <w:lang w:val="en-US"/>
        </w:rPr>
        <w:t>Please provide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sz w:val="20"/>
          <w:lang w:val="en-US"/>
        </w:rPr>
      </w:pPr>
      <w:r>
        <w:rPr>
          <w:b/>
          <w:i/>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sz w:val="20"/>
          <w:lang w:val="en-US"/>
        </w:rPr>
      </w:pPr>
      <w:r>
        <w:rPr>
          <w:b/>
          <w:i/>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0"/>
          <w:lang w:val="en-US"/>
        </w:rPr>
      </w:pPr>
      <w:r>
        <w:rPr>
          <w:spacing w:val="-2"/>
          <w:sz w:val="20"/>
          <w:lang w:val="en-US"/>
        </w:rPr>
        <w:t xml:space="preserve">Attention: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0"/>
          <w:lang w:val="en-US"/>
        </w:rPr>
      </w:pPr>
      <w:r>
        <w:rPr>
          <w:spacing w:val="-2"/>
          <w:sz w:val="20"/>
          <w:lang w:val="en-US"/>
        </w:rPr>
        <w:t xml:space="preserve">Telephone: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tab/>
        <w:t xml:space="preserve">Facsimile: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pPr>
      <w:r>
        <w:rPr>
          <w:spacing w:val="-2"/>
          <w:sz w:val="20"/>
          <w:lang w:val="en-US"/>
        </w:rPr>
        <w:t>(l)</w:t>
      </w:r>
      <w:r>
        <w:rPr>
          <w:b/>
          <w:i/>
          <w:spacing w:val="-2"/>
          <w:sz w:val="20"/>
          <w:lang w:val="en-US"/>
        </w:rPr>
        <w:tab/>
        <w:t>Addresses for Transfers.</w:t>
      </w:r>
      <w:r>
        <w:rPr>
          <w:spacing w:val="-2"/>
          <w:sz w:val="20"/>
          <w:lang w:val="en-US"/>
        </w:rPr>
        <w:t xml:space="preserve">  Addresses for Transfers of Collateral shall be supplied on or before the date of initial Transfer hereunder. </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(m)</w:t>
      </w:r>
      <w:r>
        <w:rPr>
          <w:b/>
          <w:i/>
          <w:spacing w:val="-2"/>
          <w:sz w:val="20"/>
          <w:lang w:val="en-US"/>
        </w:rPr>
        <w:tab/>
        <w:t>Other Provisions</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i/>
          <w:spacing w:val="-2"/>
          <w:sz w:val="20"/>
          <w:lang w:val="en-US"/>
        </w:rPr>
        <w:t>Agreement as to Single Secured Party and Pledgor.</w:t>
      </w:r>
      <w:r>
        <w:rPr>
          <w:spacing w:val="-2"/>
          <w:sz w:val="20"/>
          <w:lang w:val="en-US"/>
        </w:rPr>
        <w:t xml:space="preserve">  Party A and Party B agree that, notwithstanding anything to the contrary in the recital to this Annex, Paragraph 1(b) or Paragraph 2 or the definitions in Paragraph 12, (a) the term "</w:t>
      </w:r>
      <w:r>
        <w:rPr>
          <w:i/>
          <w:spacing w:val="-2"/>
          <w:sz w:val="20"/>
          <w:lang w:val="en-US"/>
        </w:rPr>
        <w:t>Secured Party</w:t>
      </w:r>
      <w:r>
        <w:rPr>
          <w:spacing w:val="-2"/>
          <w:sz w:val="20"/>
          <w:lang w:val="en-US"/>
        </w:rPr>
        <w:t>" as used in this Annex means only Party A, (b) the term "</w:t>
      </w:r>
      <w:r>
        <w:rPr>
          <w:i/>
          <w:spacing w:val="-2"/>
          <w:sz w:val="20"/>
          <w:lang w:val="en-US"/>
        </w:rPr>
        <w:t>Pledgor</w:t>
      </w:r>
      <w:r>
        <w:rPr>
          <w:spacing w:val="-2"/>
          <w:sz w:val="20"/>
          <w:lang w:val="en-US"/>
        </w:rPr>
        <w:t>" as used in this Annex means only Party B, (c) only Party B makes the pledge and grant in Paragraph 2, the acknowledgment in the final sentence of Paragraph 8(a) and the representations in Paragraph 9, and (d) only Party B will be required to make Transfers of Eligible Credit Support hereunder</w:t>
      </w:r>
      <w:r>
        <w:rPr>
          <w:b/>
          <w:spacing w:val="-2"/>
          <w:sz w:val="20"/>
          <w:lang w:val="en-US"/>
        </w:rPr>
        <w:t>.</w:t>
      </w:r>
    </w:p>
    <w:p>
      <w:pPr>
        <w:pStyle w:val="Normal"/>
        <w:tabs>
          <w:tab w:val="clear" w:pos="720"/>
          <w:tab w:val="left" w:pos="-720" w:leader="none"/>
        </w:tabs>
        <w:suppressAutoHyphens w:val="true"/>
        <w:ind w:end="-14"/>
        <w:jc w:val="both"/>
        <w:rPr>
          <w:b/>
          <w:spacing w:val="-2"/>
          <w:sz w:val="20"/>
          <w:lang w:val="en-US"/>
        </w:rPr>
      </w:pPr>
      <w:r>
        <w:rPr>
          <w:b/>
          <w:spacing w:val="-2"/>
          <w:sz w:val="20"/>
          <w:lang w:val="en-US"/>
        </w:rPr>
      </w:r>
    </w:p>
    <w:p>
      <w:pPr>
        <w:pStyle w:val="Normal"/>
        <w:tabs>
          <w:tab w:val="clear" w:pos="720"/>
          <w:tab w:val="left" w:pos="-720" w:leader="none"/>
        </w:tabs>
        <w:suppressAutoHyphens w:val="true"/>
        <w:ind w:end="-14"/>
        <w:jc w:val="both"/>
        <w:rPr>
          <w:b/>
          <w:spacing w:val="-2"/>
          <w:sz w:val="20"/>
          <w:lang w:val="en-US"/>
        </w:rPr>
      </w:pPr>
      <w:r>
        <w:rPr>
          <w:b/>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5.  Dispute Resolution</w:t>
      </w:r>
      <w:r>
        <w:rPr>
          <w:spacing w:val="-2"/>
          <w:sz w:val="20"/>
          <w:lang w:val="en-US"/>
        </w:rPr>
        <w:t>.  Paragraph 5 of the Credit Support Annex is hereby amended by deleting clause (2) in its entirety and inserting in lieu thereof the following:</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14"/>
        <w:jc w:val="both"/>
        <w:rPr>
          <w:spacing w:val="-2"/>
          <w:sz w:val="20"/>
          <w:lang w:val="en-US"/>
        </w:rPr>
      </w:pPr>
      <w:r>
        <w:rPr>
          <w:spacing w:val="-2"/>
          <w:sz w:val="20"/>
          <w:lang w:val="en-US"/>
        </w:rPr>
        <w:tab/>
        <w:t>"(2) subject to Paragraph 4(a), the appropriate party will Transfer the undisputed amount to the other party not later than (X) the time delivery otherwise would have been due if no dispute had existed in the case of (l) above, or (Y) the close of business on the Local Business Day following the date of Transfer in the case of (II) above,"</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7.  Event of Default.</w:t>
      </w:r>
      <w:r>
        <w:rPr>
          <w:spacing w:val="-2"/>
          <w:sz w:val="20"/>
          <w:lang w:val="en-US"/>
        </w:rPr>
        <w:t xml:space="preserve">  Subparagraph (i) of Paragraph 7 of the Credit Support Annex is hereby amended by (i) </w:t>
      </w:r>
      <w:r>
        <w:rPr>
          <w:color w:val="000000"/>
          <w:sz w:val="20"/>
          <w:szCs w:val="22"/>
        </w:rPr>
        <w:t xml:space="preserve">deleting the words “Eligible Collateral” and replacing them with the words “Eligible Credit Support” and (ii) </w:t>
      </w:r>
      <w:r>
        <w:rPr>
          <w:spacing w:val="-2"/>
          <w:sz w:val="20"/>
          <w:lang w:val="en-US"/>
        </w:rPr>
        <w:t>deleting the phrase "two Local Business Days" and inserting in lieu thereof the phrase "one Local Business Day."</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12.  Definitions.</w:t>
      </w:r>
      <w:r>
        <w:rPr>
          <w:spacing w:val="-2"/>
          <w:sz w:val="20"/>
          <w:lang w:val="en-US"/>
        </w:rPr>
        <w:t xml:space="preserve">  Paragraph 12 of the Credit Support Annex is hereby amended as follows:</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14"/>
        <w:jc w:val="both"/>
        <w:rPr/>
      </w:pPr>
      <w:r>
        <w:rPr>
          <w:spacing w:val="-2"/>
          <w:sz w:val="20"/>
          <w:lang w:val="en-US"/>
        </w:rPr>
        <w:tab/>
        <w:t xml:space="preserve">The definition of </w:t>
      </w:r>
      <w:r>
        <w:rPr>
          <w:b/>
          <w:spacing w:val="-2"/>
          <w:sz w:val="20"/>
          <w:lang w:val="en-US"/>
        </w:rPr>
        <w:t>"Local Business Day"</w:t>
      </w:r>
      <w:r>
        <w:rPr>
          <w:spacing w:val="-2"/>
          <w:sz w:val="20"/>
          <w:lang w:val="en-US"/>
        </w:rPr>
        <w:t xml:space="preserve"> is hereby amended by inserting the following in lieu thereof:  </w:t>
      </w:r>
      <w:r>
        <w:rPr>
          <w:b/>
          <w:spacing w:val="-2"/>
          <w:sz w:val="20"/>
          <w:lang w:val="en-US"/>
        </w:rPr>
        <w:t>"Local Business Day</w:t>
      </w:r>
      <w:r>
        <w:rPr>
          <w:spacing w:val="-2"/>
          <w:sz w:val="20"/>
          <w:lang w:val="en-US"/>
        </w:rPr>
        <w:t xml:space="preserve"> means a day on which commercial banks in New York City are open for business (including dealings in foreign exchange and foreign currency deposits)";</w:t>
      </w:r>
    </w:p>
    <w:p>
      <w:pPr>
        <w:pStyle w:val="Normal"/>
        <w:tabs>
          <w:tab w:val="clear" w:pos="720"/>
          <w:tab w:val="left" w:pos="-720" w:leader="none"/>
          <w:tab w:val="left" w:pos="0" w:leader="none"/>
        </w:tabs>
        <w:suppressAutoHyphens w:val="true"/>
        <w:ind w:hanging="720" w:start="720" w:end="-14"/>
        <w:jc w:val="both"/>
        <w:rPr>
          <w:spacing w:val="-2"/>
          <w:sz w:val="20"/>
          <w:lang w:val="en-US"/>
        </w:rPr>
      </w:pPr>
      <w:r>
        <w:rPr>
          <w:spacing w:val="-2"/>
          <w:sz w:val="20"/>
          <w:lang w:val="en-US"/>
        </w:rPr>
      </w:r>
    </w:p>
    <w:p>
      <w:pPr>
        <w:pStyle w:val="Normal"/>
        <w:ind w:start="720" w:end="0"/>
        <w:jc w:val="both"/>
        <w:rPr/>
      </w:pPr>
      <w:r>
        <w:rPr>
          <w:spacing w:val="-2"/>
          <w:sz w:val="20"/>
          <w:lang w:val="en-US"/>
        </w:rPr>
        <w:tab/>
      </w:r>
      <w:r>
        <w:rPr>
          <w:color w:val="000000"/>
          <w:sz w:val="20"/>
        </w:rPr>
        <w:t>The following definitions are added:</w:t>
      </w:r>
    </w:p>
    <w:p>
      <w:pPr>
        <w:pStyle w:val="Normal"/>
        <w:ind w:start="720" w:end="0"/>
        <w:jc w:val="both"/>
        <w:rPr>
          <w:b/>
          <w:color w:val="000000"/>
          <w:sz w:val="20"/>
        </w:rPr>
      </w:pPr>
      <w:r>
        <w:rPr>
          <w:b/>
          <w:color w:val="000000"/>
          <w:sz w:val="20"/>
        </w:rPr>
      </w:r>
    </w:p>
    <w:p>
      <w:pPr>
        <w:pStyle w:val="Normal"/>
        <w:ind w:start="720" w:end="0"/>
        <w:jc w:val="both"/>
        <w:rPr/>
      </w:pPr>
      <w:r>
        <w:rPr>
          <w:b/>
          <w:color w:val="000000"/>
          <w:sz w:val="20"/>
        </w:rPr>
        <w:t>“</w:t>
      </w:r>
      <w:r>
        <w:rPr>
          <w:b/>
          <w:color w:val="000000"/>
          <w:sz w:val="20"/>
        </w:rPr>
        <w:t>Credit Rating”</w:t>
      </w:r>
      <w:r>
        <w:rPr>
          <w:color w:val="000000"/>
          <w:sz w:val="20"/>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0"/>
        </w:rPr>
      </w:pPr>
      <w:r>
        <w:rPr>
          <w:color w:val="000000"/>
          <w:sz w:val="20"/>
        </w:rPr>
      </w:r>
    </w:p>
    <w:p>
      <w:pPr>
        <w:pStyle w:val="Normal"/>
        <w:ind w:start="720" w:end="0"/>
        <w:jc w:val="both"/>
        <w:rPr/>
      </w:pPr>
      <w:r>
        <w:rPr>
          <w:b/>
          <w:sz w:val="20"/>
        </w:rPr>
        <w:t>“</w:t>
      </w:r>
      <w:r>
        <w:rPr>
          <w:b/>
          <w:sz w:val="20"/>
        </w:rPr>
        <w:t xml:space="preserve">Issuer” </w:t>
      </w:r>
      <w:r>
        <w:rPr>
          <w:sz w:val="20"/>
        </w:rPr>
        <w:t>means the bank issuing a Letter of Credit at the request of the Pledgor that meets the requirements set forth in the definition of Letter of Credit herein.</w:t>
      </w:r>
    </w:p>
    <w:p>
      <w:pPr>
        <w:pStyle w:val="Normal"/>
        <w:ind w:start="720" w:end="0"/>
        <w:jc w:val="both"/>
        <w:rPr>
          <w:rFonts w:eastAsia="Helvetica"/>
          <w:color w:val="000000"/>
          <w:sz w:val="20"/>
        </w:rPr>
      </w:pPr>
      <w:r>
        <w:rPr>
          <w:rFonts w:eastAsia="Helvetica"/>
          <w:color w:val="000000"/>
          <w:sz w:val="20"/>
        </w:rPr>
        <w:t xml:space="preserve"> </w:t>
      </w:r>
    </w:p>
    <w:p>
      <w:pPr>
        <w:pStyle w:val="Normal"/>
        <w:ind w:start="720" w:end="0"/>
        <w:jc w:val="both"/>
        <w:rPr/>
      </w:pPr>
      <w:r>
        <w:rPr>
          <w:b/>
          <w:color w:val="000000"/>
          <w:sz w:val="20"/>
        </w:rPr>
        <w:t>“</w:t>
      </w:r>
      <w:r>
        <w:rPr>
          <w:b/>
          <w:color w:val="000000"/>
          <w:sz w:val="20"/>
        </w:rPr>
        <w:t xml:space="preserve">Letter of Credit” </w:t>
      </w:r>
      <w:r>
        <w:rPr>
          <w:color w:val="000000"/>
          <w:sz w:val="20"/>
        </w:rPr>
        <w:t xml:space="preserve">means an irrevocable, transferable, standby letter of credit, issued by a major U.S. commercial bank or a U.S. branch office of a foreign bank with a Credit Rating of at least “A-” by S&amp;P and “A3” by Moody’s, utilizing the form set forth in </w:t>
      </w:r>
      <w:r>
        <w:rPr>
          <w:color w:val="000000"/>
          <w:sz w:val="20"/>
          <w:u w:val="single"/>
        </w:rPr>
        <w:t>Schedule 1</w:t>
      </w:r>
      <w:r>
        <w:rPr>
          <w:color w:val="000000"/>
          <w:sz w:val="20"/>
        </w:rPr>
        <w:t xml:space="preserve"> attached hereto, with such changes to the terms in that form as the Issuer may require and as may be acceptable to the party in whose favor</w:t>
      </w:r>
      <w:r>
        <w:rPr>
          <w:b/>
          <w:color w:val="000000"/>
          <w:sz w:val="20"/>
        </w:rPr>
        <w:t xml:space="preserve"> such</w:t>
      </w:r>
      <w:r>
        <w:rPr>
          <w:color w:val="000000"/>
          <w:sz w:val="20"/>
        </w:rPr>
        <w:t xml:space="preserve"> letter of credit is issued.  Each Letter of Credit shall be a Credit Support Document.</w:t>
      </w:r>
    </w:p>
    <w:p>
      <w:pPr>
        <w:pStyle w:val="Normal"/>
        <w:ind w:start="720" w:end="0"/>
        <w:jc w:val="both"/>
        <w:rPr>
          <w:b/>
          <w:color w:val="000000"/>
          <w:sz w:val="20"/>
        </w:rPr>
      </w:pPr>
      <w:r>
        <w:rPr>
          <w:b/>
          <w:color w:val="000000"/>
          <w:sz w:val="20"/>
        </w:rPr>
      </w:r>
    </w:p>
    <w:p>
      <w:pPr>
        <w:pStyle w:val="Normal"/>
        <w:ind w:start="720" w:end="0"/>
        <w:jc w:val="both"/>
        <w:rPr/>
      </w:pPr>
      <w:r>
        <w:rPr>
          <w:b/>
          <w:color w:val="000000"/>
          <w:sz w:val="20"/>
        </w:rPr>
        <w:t>“</w:t>
      </w:r>
      <w:r>
        <w:rPr>
          <w:b/>
          <w:color w:val="000000"/>
          <w:sz w:val="20"/>
        </w:rPr>
        <w:t>Material Adverse Change”</w:t>
      </w:r>
      <w:r>
        <w:rPr>
          <w:color w:val="000000"/>
          <w:sz w:val="20"/>
        </w:rPr>
        <w:t xml:space="preserve"> means ________________________________________.</w:t>
      </w:r>
    </w:p>
    <w:p>
      <w:pPr>
        <w:pStyle w:val="Normal"/>
        <w:ind w:start="720" w:end="0"/>
        <w:jc w:val="both"/>
        <w:rPr>
          <w:color w:val="000000"/>
          <w:sz w:val="20"/>
        </w:rPr>
      </w:pPr>
      <w:r>
        <w:rPr>
          <w:color w:val="000000"/>
          <w:sz w:val="20"/>
        </w:rPr>
      </w:r>
    </w:p>
    <w:p>
      <w:pPr>
        <w:pStyle w:val="Normal"/>
        <w:ind w:start="720" w:end="0"/>
        <w:jc w:val="both"/>
        <w:rPr/>
      </w:pPr>
      <w:r>
        <w:rPr>
          <w:b/>
          <w:color w:val="000000"/>
          <w:sz w:val="20"/>
        </w:rPr>
        <w:t>“</w:t>
      </w:r>
      <w:r>
        <w:rPr>
          <w:b/>
          <w:color w:val="000000"/>
          <w:sz w:val="20"/>
        </w:rPr>
        <w:t>Moody’s”</w:t>
      </w:r>
      <w:r>
        <w:rPr>
          <w:color w:val="000000"/>
          <w:sz w:val="20"/>
        </w:rPr>
        <w:t xml:space="preserve"> means Moody’s Investors Service, Inc. or its successor.</w:t>
      </w:r>
    </w:p>
    <w:p>
      <w:pPr>
        <w:pStyle w:val="Normal"/>
        <w:ind w:start="720" w:end="0"/>
        <w:jc w:val="both"/>
        <w:rPr>
          <w:color w:val="000000"/>
          <w:sz w:val="20"/>
        </w:rPr>
      </w:pPr>
      <w:r>
        <w:rPr>
          <w:color w:val="000000"/>
          <w:sz w:val="20"/>
        </w:rPr>
      </w:r>
    </w:p>
    <w:p>
      <w:pPr>
        <w:pStyle w:val="Normal"/>
        <w:ind w:start="720" w:end="0"/>
        <w:jc w:val="both"/>
        <w:rPr/>
      </w:pPr>
      <w:r>
        <w:rPr>
          <w:b/>
          <w:color w:val="000000"/>
          <w:sz w:val="20"/>
        </w:rPr>
        <w:t>“</w:t>
      </w:r>
      <w:r>
        <w:rPr>
          <w:b/>
          <w:color w:val="000000"/>
          <w:sz w:val="20"/>
        </w:rPr>
        <w:t>S&amp;P”</w:t>
      </w:r>
      <w:r>
        <w:rPr>
          <w:color w:val="000000"/>
          <w:sz w:val="20"/>
        </w:rPr>
        <w:t xml:space="preserve"> means the Standard &amp; Poor's Rating Group (a division of McGraw-Hill, Inc.) or its successor.</w:t>
      </w:r>
    </w:p>
    <w:p>
      <w:pPr>
        <w:pStyle w:val="Normal"/>
        <w:ind w:hanging="720" w:start="720" w:end="0"/>
        <w:jc w:val="both"/>
        <w:rPr>
          <w:color w:val="000000"/>
          <w:sz w:val="20"/>
        </w:rPr>
      </w:pPr>
      <w:r>
        <w:rPr>
          <w:color w:val="000000"/>
          <w:sz w:val="20"/>
        </w:rPr>
      </w:r>
    </w:p>
    <w:p>
      <w:pPr>
        <w:pStyle w:val="Normal"/>
        <w:ind w:start="720" w:end="0"/>
        <w:jc w:val="both"/>
        <w:rPr>
          <w:color w:val="000000"/>
          <w:sz w:val="20"/>
        </w:rPr>
      </w:pPr>
      <w:r>
        <w:rPr>
          <w:color w:val="000000"/>
          <w:sz w:val="20"/>
        </w:rPr>
      </w:r>
    </w:p>
    <w:p>
      <w:pPr>
        <w:pStyle w:val="Normal"/>
        <w:ind w:start="720" w:end="0"/>
        <w:jc w:val="both"/>
        <w:rPr>
          <w:color w:val="000000"/>
          <w:sz w:val="20"/>
        </w:rPr>
      </w:pPr>
      <w:r>
        <w:rPr>
          <w:color w:val="000000"/>
          <w:sz w:val="20"/>
        </w:rPr>
      </w:r>
    </w:p>
    <w:p>
      <w:pPr>
        <w:pStyle w:val="Normal"/>
        <w:tabs>
          <w:tab w:val="clear" w:pos="720"/>
          <w:tab w:val="left" w:pos="-720" w:leader="none"/>
          <w:tab w:val="left" w:pos="0" w:leader="none"/>
        </w:tabs>
        <w:suppressAutoHyphens w:val="true"/>
        <w:ind w:hanging="720" w:start="720" w:end="-14"/>
        <w:jc w:val="both"/>
        <w:rPr>
          <w:color w:val="000000"/>
          <w:spacing w:val="-2"/>
          <w:sz w:val="20"/>
          <w:lang w:val="en-US"/>
        </w:rPr>
      </w:pPr>
      <w:r>
        <w:rPr>
          <w:color w:val="000000"/>
          <w:spacing w:val="-2"/>
          <w:sz w:val="20"/>
          <w:lang w:val="en-US"/>
        </w:rPr>
      </w:r>
    </w:p>
    <w:p>
      <w:pPr>
        <w:pStyle w:val="BodyText2"/>
        <w:rPr>
          <w:spacing w:val="-2"/>
          <w:sz w:val="20"/>
          <w:lang w:val="en-US"/>
        </w:rPr>
      </w:pPr>
      <w:r>
        <w:rPr>
          <w:spacing w:val="-2"/>
          <w:sz w:val="20"/>
          <w:lang w:val="en-US"/>
        </w:rPr>
      </w:r>
    </w:p>
    <w:p>
      <w:pPr>
        <w:pStyle w:val="BodyText2"/>
        <w:rPr/>
      </w:pPr>
      <w:r>
        <w:rPr/>
        <w:t>IN WITNESS WHEREOF the parties have executed this document on the respective dates specified below with effect from the date specified on the first page of this document.</w:t>
      </w:r>
    </w:p>
    <w:p>
      <w:pPr>
        <w:pStyle w:val="Normal"/>
        <w:tabs>
          <w:tab w:val="clear" w:pos="720"/>
          <w:tab w:val="left" w:pos="-720" w:leader="none"/>
          <w:tab w:val="left" w:pos="0" w:leader="none"/>
        </w:tabs>
        <w:suppressAutoHyphens w:val="true"/>
        <w:ind w:hanging="720" w:start="720" w:end="706"/>
        <w:jc w:val="both"/>
        <w:rPr>
          <w:spacing w:val="-2"/>
          <w:sz w:val="20"/>
          <w:lang w:val="en-US"/>
        </w:rPr>
      </w:pPr>
      <w:r>
        <w:rPr>
          <w:spacing w:val="-2"/>
          <w:sz w:val="20"/>
          <w:lang w:val="en-US"/>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t>UBS AG</w:t>
        <w:tab/>
        <w:tab/>
        <w:tab/>
        <w:tab/>
        <w:tab/>
        <w:t xml:space="preserve">[Counterparty] </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By:________________________</w:t>
        <w:tab/>
        <w:tab/>
        <w:tab/>
        <w:t>By:___________________________________</w:t>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Name:</w:t>
        <w:tab/>
        <w:tab/>
        <w:tab/>
        <w:tab/>
        <w:tab/>
        <w:t>Name:</w:t>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Title:</w:t>
        <w:tab/>
        <w:tab/>
        <w:tab/>
        <w:tab/>
        <w:tab/>
        <w:tab/>
        <w:t>Title:</w:t>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Date</w:t>
        <w:tab/>
        <w:tab/>
        <w:tab/>
        <w:tab/>
        <w:tab/>
        <w:tab/>
        <w:t>Date:</w:t>
      </w:r>
      <w:r>
        <w:br w:type="page"/>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numPr>
          <w:ilvl w:val="0"/>
          <w:numId w:val="0"/>
        </w:numPr>
        <w:jc w:val="center"/>
        <w:rPr>
          <w:color w:val="000000"/>
          <w:spacing w:val="-2"/>
          <w:sz w:val="22"/>
          <w:lang w:val="en-US"/>
        </w:rPr>
      </w:pPr>
      <w:r>
        <w:rPr>
          <w:color w:val="000000"/>
          <w:spacing w:val="-2"/>
          <w:sz w:val="22"/>
          <w:lang w:val="en-US"/>
        </w:rPr>
      </w:r>
    </w:p>
    <w:p>
      <w:pPr>
        <w:pStyle w:val="Normal"/>
        <w:jc w:val="center"/>
        <w:rPr>
          <w:b/>
          <w:sz w:val="20"/>
        </w:rPr>
      </w:pPr>
      <w:r>
        <w:rPr>
          <w:b/>
          <w:sz w:val="20"/>
          <w:u w:val="single"/>
        </w:rPr>
        <w:t>EXHIBIT A</w:t>
      </w:r>
    </w:p>
    <w:p>
      <w:pPr>
        <w:pStyle w:val="Expanded"/>
        <w:spacing w:before="0" w:after="0"/>
        <w:rPr>
          <w:caps w:val="false"/>
          <w:smallCaps w:val="false"/>
          <w:spacing w:val="0"/>
          <w:sz w:val="20"/>
        </w:rPr>
      </w:pPr>
      <w:r>
        <w:rPr>
          <w:caps w:val="false"/>
          <w:smallCaps w:val="false"/>
          <w:spacing w:val="0"/>
          <w:sz w:val="20"/>
        </w:rPr>
        <w:t>to Paragraph 13</w:t>
      </w:r>
    </w:p>
    <w:p>
      <w:pPr>
        <w:pStyle w:val="Normal"/>
        <w:jc w:val="center"/>
        <w:rPr>
          <w:b/>
          <w:caps/>
          <w:spacing w:val="0"/>
          <w:sz w:val="20"/>
        </w:rPr>
      </w:pPr>
      <w:r>
        <w:rPr>
          <w:b/>
          <w:caps/>
          <w:spacing w:val="0"/>
          <w:sz w:val="20"/>
        </w:rPr>
      </w:r>
    </w:p>
    <w:p>
      <w:pPr>
        <w:pStyle w:val="Normal"/>
        <w:jc w:val="center"/>
        <w:rPr>
          <w:b/>
          <w:sz w:val="20"/>
        </w:rPr>
      </w:pPr>
      <w:r>
        <w:rPr>
          <w:b/>
          <w:sz w:val="20"/>
        </w:rPr>
      </w:r>
    </w:p>
    <w:p>
      <w:pPr>
        <w:pStyle w:val="Normal"/>
        <w:jc w:val="center"/>
        <w:rPr>
          <w:b/>
          <w:sz w:val="20"/>
        </w:rPr>
      </w:pPr>
      <w:r>
        <w:rPr>
          <w:b/>
          <w:sz w:val="20"/>
        </w:rPr>
        <w:t>LETTER OF CREDIT PROVISIONS</w:t>
      </w:r>
    </w:p>
    <w:p>
      <w:pPr>
        <w:pStyle w:val="Normal"/>
        <w:jc w:val="both"/>
        <w:rPr>
          <w:b/>
          <w:sz w:val="20"/>
        </w:rPr>
      </w:pPr>
      <w:r>
        <w:rPr>
          <w:b/>
          <w:sz w:val="20"/>
        </w:rPr>
      </w:r>
    </w:p>
    <w:p>
      <w:pPr>
        <w:pStyle w:val="Normal"/>
        <w:jc w:val="both"/>
        <w:rPr/>
      </w:pPr>
      <w:r>
        <w:rPr>
          <w:b/>
          <w:sz w:val="20"/>
        </w:rPr>
        <w:t xml:space="preserve">I.  </w:t>
      </w:r>
      <w:r>
        <w:rPr>
          <w:b/>
          <w:sz w:val="20"/>
          <w:u w:val="single"/>
        </w:rPr>
        <w:t>Letters of Credit</w:t>
      </w:r>
      <w:r>
        <w:rPr>
          <w:sz w:val="20"/>
        </w:rPr>
        <w:t>.  Other Posted  Support provided by Party B for the benefit of Party A in the form of a Letter of Credit shall be subject to the following provisions.</w:t>
      </w:r>
    </w:p>
    <w:p>
      <w:pPr>
        <w:pStyle w:val="Normal"/>
        <w:jc w:val="both"/>
        <w:rPr>
          <w:sz w:val="20"/>
        </w:rPr>
      </w:pPr>
      <w:r>
        <w:rPr>
          <w:sz w:val="20"/>
        </w:rPr>
      </w:r>
    </w:p>
    <w:p>
      <w:pPr>
        <w:pStyle w:val="Normal"/>
        <w:ind w:start="180" w:end="0"/>
        <w:jc w:val="both"/>
        <w:rPr/>
      </w:pPr>
      <w:r>
        <w:rPr>
          <w:sz w:val="20"/>
        </w:rPr>
        <w:t>(a)  Any Letter of Credit shall be delivered by Party B or the Issuer to such address as Party A shall specify and shall be maintained for the benefit of Party A.  Party B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Party A’s properly documented request to draw on an outstanding Letter of Credit, provide for the benefit of Party A either a substitute Letter of Credit that is issued by an Issuer with a qualifying Credit Rating acceptable to Party A, or other Eligible Credit Support, in each case within two (2) Local Business Days after such refusal</w:t>
      </w:r>
      <w:r>
        <w:rPr>
          <w:b/>
          <w:sz w:val="20"/>
        </w:rPr>
        <w:t>.</w:t>
      </w:r>
    </w:p>
    <w:p>
      <w:pPr>
        <w:pStyle w:val="Normal"/>
        <w:ind w:start="180" w:end="0"/>
        <w:jc w:val="both"/>
        <w:rPr>
          <w:b/>
          <w:sz w:val="20"/>
        </w:rPr>
      </w:pPr>
      <w:r>
        <w:rPr>
          <w:b/>
          <w:sz w:val="20"/>
        </w:rPr>
      </w:r>
    </w:p>
    <w:p>
      <w:pPr>
        <w:pStyle w:val="Normal"/>
        <w:ind w:start="180" w:end="0"/>
        <w:jc w:val="both"/>
        <w:rPr/>
      </w:pPr>
      <w:r>
        <w:rPr>
          <w:sz w:val="20"/>
        </w:rPr>
        <w:t>(b)  Upon the occurrence of a Letter of Credit Default, Party B agrees to either cause another Issuer to deliver to Party A a substitute Letter of Credit, or, alternatively, Party B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sz w:val="20"/>
          <w:u w:val="single"/>
        </w:rPr>
        <w:t>Letter of Credit Default</w:t>
      </w:r>
      <w:r>
        <w:rPr>
          <w:sz w:val="20"/>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0"/>
          <w:u w:val="single"/>
        </w:rPr>
        <w:t>provided, however</w:t>
      </w:r>
      <w:r>
        <w:rPr>
          <w:sz w:val="20"/>
        </w:rPr>
        <w:t>, that no Letter of Credit Default shall occur in any event with respect to a Letter of Credit after the time such Letter of Credit is required to be cancelled or returned to the Issuer in accordance with the terms of this Agreement.</w:t>
      </w:r>
    </w:p>
    <w:p>
      <w:pPr>
        <w:pStyle w:val="Normal"/>
        <w:ind w:start="180" w:end="0"/>
        <w:jc w:val="both"/>
        <w:rPr>
          <w:sz w:val="20"/>
        </w:rPr>
      </w:pPr>
      <w:r>
        <w:rPr>
          <w:sz w:val="20"/>
        </w:rPr>
      </w:r>
    </w:p>
    <w:p>
      <w:pPr>
        <w:pStyle w:val="Normal"/>
        <w:ind w:start="180" w:end="0"/>
        <w:jc w:val="both"/>
        <w:rPr>
          <w:sz w:val="20"/>
        </w:rPr>
      </w:pPr>
      <w:r>
        <w:rPr>
          <w:sz w:val="20"/>
        </w:rPr>
        <w:t>(c)  As one method of providing additional Posted Credit Support, Party B may cause the Issuer to increase the face amount of an outstanding Letter of Credit or provide one or more additional Letters of Credit.</w:t>
      </w:r>
    </w:p>
    <w:p>
      <w:pPr>
        <w:pStyle w:val="Normal"/>
        <w:ind w:start="540" w:end="0"/>
        <w:jc w:val="both"/>
        <w:rPr>
          <w:sz w:val="20"/>
        </w:rPr>
      </w:pPr>
      <w:r>
        <w:rPr>
          <w:sz w:val="20"/>
        </w:rPr>
      </w:r>
    </w:p>
    <w:p>
      <w:pPr>
        <w:pStyle w:val="Normal"/>
        <w:ind w:start="180" w:end="0"/>
        <w:jc w:val="both"/>
        <w:rPr>
          <w:sz w:val="20"/>
        </w:rPr>
      </w:pPr>
      <w:r>
        <w:rPr>
          <w:sz w:val="20"/>
        </w:rPr>
        <w:t>(d)  (i) Upon or at any time after the occurrence of an Event of Default with respect to Party B, Party A may draw the entire undrawn portion of any outstanding Letter of Credit upon presentation to the Issuer of one or more certificates in accordance with the specific requirements of any such Letter of Credit.  Cash received from drawing upon the Letter of Credit shall be deemed Posted Collateral and shall either be (y) applied against all amounts that are due and owing from Party B but have not been paid to Party A under this Agreement or (z) held by Party A as Posted Collateral in accordance with this Annex.  Notwithstanding Party A’s receipt of Cash from any drawing under a Letter of Credit, Party B shall remain obligated to Party A to Transfer sufficient Eligible Credit Support to Party A in accordance with the terms of this Annex.  In addition, Party B shall remain obligated to Party A for any amounts owing to Party A and remaining unpaid after the application of any amounts so drawn by Party A.</w:t>
      </w:r>
    </w:p>
    <w:p>
      <w:pPr>
        <w:pStyle w:val="Normal"/>
        <w:ind w:start="180" w:end="0"/>
        <w:jc w:val="both"/>
        <w:rPr>
          <w:sz w:val="20"/>
        </w:rPr>
      </w:pPr>
      <w:r>
        <w:rPr>
          <w:sz w:val="20"/>
        </w:rPr>
      </w:r>
    </w:p>
    <w:p>
      <w:pPr>
        <w:pStyle w:val="Normal"/>
        <w:ind w:start="180" w:end="0"/>
        <w:jc w:val="both"/>
        <w:rPr>
          <w:sz w:val="20"/>
        </w:rPr>
      </w:pPr>
      <w:r>
        <w:rPr>
          <w:sz w:val="20"/>
        </w:rPr>
        <w:t>(ii)  Upon or at any time after the occurrence or deemed occurrence of an Early Termination Date as a result of a Termination Event and the failure of Party B to make all payments due and owing to Party A in accordance with the terms of this Agreement, Party A may, subject to the availability of such amounts for drawing, draw on any outstanding Letter of Credit in an amount equal to such amounts owing to it upon presentation to the Issuer of one or more certificates in accordance with the specific requirements of any such Letter of Credit. Notwithstanding Party A’s receipt of Cash from any drawing under a Letter of Credit, Party B shall remain obligated to Party A to Transfer sufficient Eligible Credit Support to Party A in accordance with the terms of this Annex.  In addition, Party B shall remain obligated to Party A for any amounts owing to Party A and remaining unpaid after the application of any amounts so drawn by Party A.</w:t>
      </w:r>
    </w:p>
    <w:p>
      <w:pPr>
        <w:pStyle w:val="Normal"/>
        <w:ind w:start="180" w:end="0"/>
        <w:jc w:val="both"/>
        <w:rPr>
          <w:sz w:val="20"/>
        </w:rPr>
      </w:pPr>
      <w:r>
        <w:rPr>
          <w:sz w:val="20"/>
        </w:rPr>
      </w:r>
    </w:p>
    <w:p>
      <w:pPr>
        <w:pStyle w:val="Normal"/>
        <w:ind w:start="180" w:end="0"/>
        <w:jc w:val="both"/>
        <w:rPr>
          <w:sz w:val="20"/>
        </w:rPr>
      </w:pPr>
      <w:r>
        <w:rPr>
          <w:sz w:val="20"/>
        </w:rPr>
        <w:t>(e)  Party B, or its Credit Support Provider (other than an Issuer), or both, may satisfy Party B’s obligations under Paragraph 3(a) hereof through the Transfer of one or more Letters of Credit to Party A as Other Posted Support.</w:t>
      </w:r>
    </w:p>
    <w:p>
      <w:pPr>
        <w:pStyle w:val="Normal"/>
        <w:ind w:start="180" w:end="0"/>
        <w:jc w:val="both"/>
        <w:rPr>
          <w:sz w:val="20"/>
        </w:rPr>
      </w:pPr>
      <w:r>
        <w:rPr>
          <w:sz w:val="20"/>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0"/>
        </w:rPr>
        <w:t xml:space="preserve">(f)  The provisions of this </w:t>
      </w:r>
      <w:r>
        <w:rPr>
          <w:sz w:val="20"/>
          <w:u w:val="single"/>
        </w:rPr>
        <w:t>Exhibit A</w:t>
      </w:r>
      <w:r>
        <w:rPr>
          <w:sz w:val="20"/>
        </w:rPr>
        <w:t xml:space="preserve"> are incorporated for all purposes into this Agreement and this Annex, including, but not limited to, Section 5(a)(iii) of this Agreement.</w:t>
      </w:r>
    </w:p>
    <w:p>
      <w:pPr>
        <w:pStyle w:val="Heading3"/>
        <w:jc w:val="center"/>
        <w:rPr/>
      </w:pPr>
      <w:r>
        <w:rPr/>
        <w:t>SCHEDULE 1</w:t>
      </w:r>
    </w:p>
    <w:p>
      <w:pPr>
        <w:pStyle w:val="Expanded"/>
        <w:widowControl w:val="false"/>
        <w:spacing w:lineRule="exact" w:line="240" w:before="0" w:after="0"/>
        <w:rPr>
          <w:rFonts w:ascii="Helvetica" w:hAnsi="Helvetica" w:cs="Helvetica"/>
          <w:caps w:val="false"/>
          <w:smallCaps w:val="false"/>
          <w:spacing w:val="0"/>
          <w:sz w:val="20"/>
          <w:lang w:val="en-GB"/>
        </w:rPr>
      </w:pPr>
      <w:r>
        <w:rPr>
          <w:rFonts w:cs="Helvetica" w:ascii="Helvetica" w:hAnsi="Helvetica"/>
          <w:caps w:val="false"/>
          <w:smallCaps w:val="false"/>
          <w:spacing w:val="0"/>
          <w:sz w:val="20"/>
          <w:lang w:val="en-GB"/>
        </w:rPr>
      </w:r>
    </w:p>
    <w:p>
      <w:pPr>
        <w:pStyle w:val="Normal"/>
        <w:spacing w:lineRule="exact" w:line="240"/>
        <w:jc w:val="center"/>
        <w:rPr>
          <w:b/>
          <w:sz w:val="20"/>
        </w:rPr>
      </w:pPr>
      <w:r>
        <w:rPr>
          <w:b/>
          <w:sz w:val="20"/>
        </w:rPr>
        <w:t>IRREVOCABLE TRANSFERABLE STANDBY LETTER OF CREDIT FORMAT</w:t>
      </w:r>
    </w:p>
    <w:p>
      <w:pPr>
        <w:pStyle w:val="Normal"/>
        <w:spacing w:lineRule="exact" w:line="240"/>
        <w:jc w:val="center"/>
        <w:rPr>
          <w:b/>
          <w:sz w:val="20"/>
        </w:rPr>
      </w:pPr>
      <w:r>
        <w:rPr>
          <w:b/>
          <w:sz w:val="20"/>
        </w:rPr>
        <w:t xml:space="preserve">DATE OF ISSUANCE:  </w:t>
      </w:r>
      <w:r>
        <w:rPr>
          <w:b/>
          <w:sz w:val="20"/>
          <w:u w:val="single"/>
        </w:rPr>
        <w:tab/>
        <w:tab/>
        <w:tab/>
      </w:r>
    </w:p>
    <w:p>
      <w:pPr>
        <w:pStyle w:val="Normal"/>
        <w:spacing w:lineRule="exact" w:line="240"/>
        <w:rPr>
          <w:sz w:val="20"/>
        </w:rPr>
      </w:pPr>
      <w:r>
        <w:rPr>
          <w:sz w:val="20"/>
        </w:rPr>
        <w:t>[Address]</w:t>
      </w:r>
    </w:p>
    <w:p>
      <w:pPr>
        <w:pStyle w:val="Normal"/>
        <w:spacing w:lineRule="exact" w:line="240"/>
        <w:rPr>
          <w:sz w:val="20"/>
        </w:rPr>
      </w:pPr>
      <w:r>
        <w:rPr>
          <w:sz w:val="20"/>
        </w:rPr>
        <w:tab/>
        <w:t>Re:  Credit No. _______________</w:t>
      </w:r>
    </w:p>
    <w:p>
      <w:pPr>
        <w:pStyle w:val="Normal"/>
        <w:spacing w:lineRule="exact" w:line="240"/>
        <w:rPr>
          <w:sz w:val="20"/>
        </w:rPr>
      </w:pPr>
      <w:r>
        <w:rPr>
          <w:sz w:val="20"/>
        </w:rPr>
      </w:r>
    </w:p>
    <w:p>
      <w:pPr>
        <w:pStyle w:val="Normal"/>
        <w:spacing w:lineRule="exact" w:line="240"/>
        <w:jc w:val="both"/>
        <w:rPr/>
      </w:pPr>
      <w:r>
        <w:rPr>
          <w:sz w:val="20"/>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0"/>
          <w:u w:val="single"/>
        </w:rPr>
        <w:t>Location</w:t>
      </w:r>
      <w:r>
        <w:rPr>
          <w:sz w:val="20"/>
        </w:rPr>
        <w:t>) on or before the expiration hereof against presentation to us of one or more of  the following statements, dated and signed by your representative:</w:t>
      </w:r>
    </w:p>
    <w:p>
      <w:pPr>
        <w:pStyle w:val="Normal"/>
        <w:spacing w:lineRule="exact" w:line="240"/>
        <w:jc w:val="both"/>
        <w:rPr>
          <w:sz w:val="20"/>
        </w:rPr>
      </w:pPr>
      <w:r>
        <w:rPr>
          <w:sz w:val="20"/>
        </w:rPr>
      </w:r>
    </w:p>
    <w:p>
      <w:pPr>
        <w:pStyle w:val="Normal"/>
        <w:numPr>
          <w:ilvl w:val="0"/>
          <w:numId w:val="3"/>
        </w:numPr>
        <w:spacing w:lineRule="exact" w:line="240"/>
        <w:jc w:val="both"/>
        <w:rPr>
          <w:sz w:val="20"/>
        </w:rPr>
      </w:pPr>
      <w:r>
        <w:rPr>
          <w:sz w:val="20"/>
        </w:rPr>
        <w:t>“</w:t>
      </w:r>
      <w:r>
        <w:rPr>
          <w:sz w:val="20"/>
        </w:rPr>
        <w:t>An Event of Default (as defined in the Master Agreement dated as of ________ between the beneficiary hereof and the Account Party, as the same may have been amended (the “Master Agreement”)) has occurred and is continuing with respect to the Account Party under the Master Agreement.  Wherefore, the undersigned beneficiary does hereby demand payment of the entire undrawn amount of the Letter of Credit.”; or</w:t>
      </w:r>
    </w:p>
    <w:p>
      <w:pPr>
        <w:pStyle w:val="Normal"/>
        <w:spacing w:lineRule="exact" w:line="240"/>
        <w:jc w:val="both"/>
        <w:rPr>
          <w:sz w:val="20"/>
        </w:rPr>
      </w:pPr>
      <w:r>
        <w:rPr>
          <w:sz w:val="20"/>
        </w:rPr>
      </w:r>
    </w:p>
    <w:p>
      <w:pPr>
        <w:pStyle w:val="Normal"/>
        <w:spacing w:lineRule="exact" w:line="240"/>
        <w:jc w:val="both"/>
        <w:rPr>
          <w:sz w:val="20"/>
        </w:rPr>
      </w:pPr>
      <w:r>
        <w:rPr>
          <w:sz w:val="20"/>
        </w:rPr>
      </w:r>
    </w:p>
    <w:p>
      <w:pPr>
        <w:pStyle w:val="Normal"/>
        <w:numPr>
          <w:ilvl w:val="0"/>
          <w:numId w:val="3"/>
        </w:numPr>
        <w:spacing w:lineRule="exact" w:line="240"/>
        <w:jc w:val="both"/>
        <w:rPr>
          <w:sz w:val="20"/>
        </w:rPr>
      </w:pPr>
      <w:r>
        <w:rPr>
          <w:sz w:val="20"/>
        </w:rPr>
        <w:t>“</w:t>
      </w:r>
      <w:r>
        <w:rPr>
          <w:sz w:val="20"/>
        </w:rPr>
        <w:t>An Early Termination Date (as defined in the Master Agreement</w:t>
      </w:r>
      <w:ins w:id="31" w:author="cstclai" w:date="2002-02-03T13:50:00Z">
        <w:r>
          <w:rPr>
            <w:sz w:val="20"/>
          </w:rPr>
          <w:t xml:space="preserve"> dated as of ________ between the beneficiary hereof and the Account Party, as the same may have been amended (the “Master Agreement”)</w:t>
        </w:r>
      </w:ins>
      <w:r>
        <w:rPr>
          <w:sz w:val="20"/>
        </w:rPr>
        <w:t>) has occurred as a result of a Termination Event (as defined in the Master Agreement) and the Account Party has failed to make payments in an aggregate amount of $____________due and owing to the beneficiary hereof  in accordance with the terms of the Master Agreement.  Wherefore, the undersigned beneficiary does hereby demand payment of $_____________.”</w:t>
      </w:r>
    </w:p>
    <w:p>
      <w:pPr>
        <w:pStyle w:val="Normal"/>
        <w:tabs>
          <w:tab w:val="left" w:pos="720" w:leader="none"/>
        </w:tabs>
        <w:spacing w:lineRule="exact" w:line="240"/>
        <w:ind w:hanging="1440" w:start="1440" w:end="0"/>
        <w:jc w:val="both"/>
        <w:rPr>
          <w:sz w:val="20"/>
        </w:rPr>
      </w:pPr>
      <w:r>
        <w:rPr>
          <w:sz w:val="20"/>
        </w:rPr>
      </w:r>
    </w:p>
    <w:p>
      <w:pPr>
        <w:pStyle w:val="Normal"/>
        <w:tabs>
          <w:tab w:val="left" w:pos="720" w:leader="none"/>
        </w:tabs>
        <w:spacing w:lineRule="exact" w:line="240"/>
        <w:jc w:val="both"/>
        <w:rPr>
          <w:sz w:val="20"/>
        </w:rPr>
      </w:pPr>
      <w:r>
        <w:rPr>
          <w:sz w:val="20"/>
        </w:rPr>
        <w:tab/>
        <w:t>The amount which may be drawn by you under this Letter of Credit shall be automatically reduced by the amount of any drawings previously paid by us hereunder.  Partial drawings are permitted hereunder.</w:t>
      </w:r>
    </w:p>
    <w:p>
      <w:pPr>
        <w:pStyle w:val="Normal"/>
        <w:tabs>
          <w:tab w:val="left" w:pos="720" w:leader="none"/>
        </w:tabs>
        <w:spacing w:lineRule="exact" w:line="240"/>
        <w:jc w:val="both"/>
        <w:rPr>
          <w:sz w:val="20"/>
        </w:rPr>
      </w:pPr>
      <w:r>
        <w:rPr>
          <w:sz w:val="20"/>
        </w:rPr>
      </w:r>
    </w:p>
    <w:p>
      <w:pPr>
        <w:pStyle w:val="Normal"/>
        <w:tabs>
          <w:tab w:val="left" w:pos="720" w:leader="none"/>
        </w:tabs>
        <w:spacing w:lineRule="exact" w:line="240"/>
        <w:jc w:val="both"/>
        <w:rPr>
          <w:sz w:val="20"/>
        </w:rPr>
      </w:pPr>
      <w:r>
        <w:rPr>
          <w:sz w:val="2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0"/>
        </w:rPr>
      </w:pPr>
      <w:r>
        <w:rPr>
          <w:sz w:val="20"/>
        </w:rPr>
      </w:r>
    </w:p>
    <w:p>
      <w:pPr>
        <w:pStyle w:val="Normal"/>
        <w:tabs>
          <w:tab w:val="left" w:pos="720" w:leader="none"/>
        </w:tabs>
        <w:spacing w:lineRule="exact" w:line="240"/>
        <w:jc w:val="both"/>
        <w:rPr>
          <w:sz w:val="20"/>
        </w:rPr>
      </w:pPr>
      <w:r>
        <w:rPr>
          <w:sz w:val="20"/>
        </w:rPr>
        <w:tab/>
        <w:t>We hereby agree with you that drafts drawn under and in compliance with the terms of this Letter of Credit shall be duly honored upon presentation as specified.</w:t>
      </w:r>
    </w:p>
    <w:p>
      <w:pPr>
        <w:pStyle w:val="BodyTextIndent"/>
        <w:ind w:start="0" w:end="0"/>
        <w:rPr/>
      </w:pPr>
      <w:r>
        <w:rPr>
          <w:sz w:val="20"/>
        </w:rPr>
        <w:tab/>
      </w:r>
      <w:r>
        <w:rPr>
          <w:rFonts w:cs="Helvetica" w:ascii="Helvetica" w:hAnsi="Helvetica"/>
          <w:sz w:val="20"/>
        </w:rPr>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BodyText"/>
        <w:spacing w:lineRule="exact" w:line="240"/>
        <w:ind w:firstLine="720" w:end="0"/>
        <w:rPr>
          <w:rFonts w:ascii="Helvetica" w:hAnsi="Helvetica" w:cs="Helvetica"/>
          <w:sz w:val="20"/>
        </w:rPr>
      </w:pPr>
      <w:r>
        <w:rPr>
          <w:rFonts w:cs="Helvetica"/>
          <w:sz w:val="20"/>
        </w:rPr>
      </w:r>
    </w:p>
    <w:p>
      <w:pPr>
        <w:pStyle w:val="BodyText"/>
        <w:spacing w:lineRule="exact" w:line="240"/>
        <w:ind w:firstLine="720" w:end="0"/>
        <w:rPr>
          <w:b w:val="false"/>
          <w:bCs/>
        </w:rPr>
      </w:pPr>
      <w:r>
        <w:rPr>
          <w:b w:val="false"/>
          <w:bCs/>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hereof accordingly.</w:t>
      </w:r>
    </w:p>
    <w:p>
      <w:pPr>
        <w:pStyle w:val="Normal"/>
        <w:tabs>
          <w:tab w:val="left" w:pos="720" w:leader="none"/>
        </w:tabs>
        <w:spacing w:lineRule="exact" w:line="240"/>
        <w:jc w:val="both"/>
        <w:rPr>
          <w:b/>
          <w:bCs/>
          <w:sz w:val="20"/>
        </w:rPr>
      </w:pPr>
      <w:r>
        <w:rPr>
          <w:b/>
          <w:bCs/>
          <w:sz w:val="20"/>
        </w:rPr>
      </w:r>
    </w:p>
    <w:p>
      <w:pPr>
        <w:pStyle w:val="Normal"/>
        <w:tabs>
          <w:tab w:val="left" w:pos="720" w:leader="none"/>
        </w:tabs>
        <w:spacing w:lineRule="exact" w:line="240"/>
        <w:jc w:val="both"/>
        <w:rPr>
          <w:sz w:val="20"/>
        </w:rPr>
      </w:pPr>
      <w:r>
        <w:rPr>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Justified"/>
        <w:tabs>
          <w:tab w:val="left" w:pos="720" w:leader="none"/>
        </w:tabs>
        <w:spacing w:lineRule="exact" w:line="240" w:before="0" w:after="0"/>
        <w:rPr>
          <w:rFonts w:ascii="Helvetica" w:hAnsi="Helvetica" w:cs="Helvetica"/>
          <w:sz w:val="20"/>
          <w:lang w:val="en-GB"/>
        </w:rPr>
      </w:pPr>
      <w:r>
        <w:rPr>
          <w:rFonts w:cs="Helvetica" w:ascii="Helvetica" w:hAnsi="Helvetica"/>
          <w:sz w:val="20"/>
          <w:lang w:val="en-GB"/>
        </w:rPr>
      </w:r>
    </w:p>
    <w:p>
      <w:pPr>
        <w:pStyle w:val="Normal"/>
        <w:tabs>
          <w:tab w:val="left" w:pos="720" w:leader="none"/>
        </w:tabs>
        <w:spacing w:lineRule="exact" w:line="240"/>
        <w:jc w:val="both"/>
        <w:rPr>
          <w:sz w:val="20"/>
        </w:rPr>
      </w:pPr>
      <w:r>
        <w:rPr>
          <w:sz w:val="20"/>
        </w:rPr>
        <w:tab/>
        <w:t>This Letter of Credit is transferable, and we hereby consent to such transfer, but otherwise may not be amended, changed or modified without the express written consent of the beneficiary hereof,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0"/>
        </w:rPr>
      </w:pPr>
      <w:r>
        <w:rPr>
          <w:sz w:val="20"/>
        </w:rPr>
        <w:t>[BANK SIGNATURE]</w:t>
      </w:r>
    </w:p>
    <w:p>
      <w:pPr>
        <w:pStyle w:val="Normal"/>
        <w:spacing w:lineRule="exact" w:line="240"/>
        <w:ind w:end="720"/>
        <w:jc w:val="center"/>
        <w:rPr>
          <w:sz w:val="20"/>
        </w:rPr>
      </w:pPr>
      <w:r>
        <w:rPr>
          <w:sz w:val="20"/>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ab/>
        <w:tab/>
        <w:tab/>
        <w:tab/>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ab/>
        <w:tab/>
        <w:tab/>
        <w:tab/>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center"/>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lang w:val="en-US"/>
        </w:rPr>
      </w:pPr>
      <w:r>
        <w:rPr>
          <w:spacing w:val="-2"/>
          <w:sz w:val="21"/>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rPr>
      </w:pPr>
      <w:r>
        <w:rPr>
          <w:spacing w:val="-2"/>
          <w:sz w:val="21"/>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rPr>
      </w:pPr>
      <w:r>
        <w:rPr>
          <w:spacing w:val="-2"/>
          <w:sz w:val="21"/>
        </w:rPr>
      </w:r>
    </w:p>
    <w:p>
      <w:pPr>
        <w:pStyle w:val="Heading1"/>
        <w:ind w:hanging="0" w:start="0"/>
        <w:jc w:val="center"/>
        <w:rPr>
          <w:rFonts w:eastAsia="Helvetica"/>
          <w:u w:val="none"/>
        </w:rPr>
      </w:pPr>
      <w:r>
        <w:rPr>
          <w:rFonts w:eastAsia="Helvetica"/>
          <w:u w:val="none"/>
        </w:rPr>
        <w:t xml:space="preserve">                                              </w:t>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0"/>
          <w:u w:val="none"/>
        </w:rPr>
      </w:pPr>
      <w:r>
        <w:rPr>
          <w:spacing w:val="-2"/>
          <w:sz w:val="20"/>
          <w:u w:val="none"/>
        </w:rPr>
      </w:r>
    </w:p>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/mnt/main-storage/datasets/enron-docs/doc/UBS_Credit_Support_Annex_Version_2_One_Way_RED.doc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b/>
        <w:caps/>
        <w:spacing w:val="0"/>
        <w:sz w:val="20"/>
      </w:rPr>
    </w:pPr>
    <w:r>
      <w:rPr>
        <w:b/>
        <w:caps/>
        <w:spacing w:val="0"/>
        <w:sz w:val="20"/>
      </w:rPr>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160"/>
        </w:tabs>
        <w:ind w:start="2160" w:hanging="72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abstractNum w:abstractNumId="5">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end"/>
      <w:outlineLvl w:val="0"/>
    </w:pPr>
    <w:rPr>
      <w:b/>
      <w:spacing w:val="-3"/>
      <w:sz w:val="20"/>
      <w:u w:val="single"/>
      <w:lang w:val="en-US"/>
    </w:rPr>
  </w:style>
  <w:style w:type="paragraph" w:styleId="Heading2">
    <w:name w:val="heading 2"/>
    <w:basedOn w:val="Normal"/>
    <w:next w:val="Normal"/>
    <w:qFormat/>
    <w:pPr>
      <w:keepNext w:val="true"/>
      <w:keepLines/>
      <w:numPr>
        <w:ilvl w:val="1"/>
        <w:numId w:val="1"/>
      </w:numPr>
      <w:tabs>
        <w:tab w:val="left" w:pos="-1440" w:leader="none"/>
        <w:tab w:val="left" w:pos="-720" w:leader="none"/>
        <w:tab w:val="left" w:pos="0" w:leader="none"/>
        <w:tab w:val="left" w:pos="720" w:leader="none"/>
        <w:tab w:val="left" w:pos="1440" w:leader="none"/>
        <w:tab w:val="left" w:pos="2160" w:leader="none"/>
        <w:tab w:val="left" w:pos="2880" w:leader="none"/>
      </w:tabs>
      <w:suppressAutoHyphens w:val="true"/>
      <w:ind w:hanging="0" w:start="0" w:end="36"/>
      <w:outlineLvl w:val="1"/>
    </w:pPr>
    <w:rPr>
      <w:sz w:val="18"/>
      <w:u w:val="single"/>
    </w:rPr>
  </w:style>
  <w:style w:type="paragraph" w:styleId="Heading3">
    <w:name w:val="heading 3"/>
    <w:basedOn w:val="Normal"/>
    <w:next w:val="Normal"/>
    <w:qFormat/>
    <w:pPr>
      <w:keepNext w:val="true"/>
      <w:keepLines/>
      <w:numPr>
        <w:ilvl w:val="2"/>
        <w:numId w:val="1"/>
      </w:numPr>
      <w:tabs>
        <w:tab w:val="clear" w:pos="720"/>
        <w:tab w:val="left" w:pos="-720" w:leader="none"/>
        <w:tab w:val="left" w:pos="1440" w:leader="none"/>
        <w:tab w:val="left" w:pos="2880" w:leader="none"/>
      </w:tabs>
      <w:suppressAutoHyphens w:val="true"/>
      <w:ind w:hanging="0" w:start="-630" w:end="0"/>
      <w:jc w:val="end"/>
      <w:outlineLvl w:val="2"/>
    </w:pPr>
    <w:rPr>
      <w:sz w:val="20"/>
      <w:u w:val="single"/>
      <w:lang w:val="en-US"/>
    </w:rPr>
  </w:style>
  <w:style w:type="character" w:styleId="WW8Num1z0">
    <w:name w:val="WW8Num1z0"/>
    <w:qFormat/>
    <w:rPr/>
  </w:style>
  <w:style w:type="character" w:styleId="WW8Num2z0">
    <w:name w:val="WW8Num2z0"/>
    <w:qFormat/>
    <w:rPr/>
  </w:style>
  <w:style w:type="character" w:styleId="WW8Num3z0">
    <w:name w:val="WW8Num3z0"/>
    <w:qFormat/>
    <w:rPr>
      <w:rFonts w:ascii="Helvetica" w:hAnsi="Helvetica" w:cs="Helvetica"/>
      <w:b w:val="false"/>
      <w:i w:val="false"/>
      <w:sz w:val="21"/>
      <w:u w:val="none"/>
    </w:rPr>
  </w:style>
  <w:style w:type="character" w:styleId="WW8Num4z0">
    <w:name w:val="WW8Num4z0"/>
    <w:qFormat/>
    <w:rPr/>
  </w:style>
  <w:style w:type="character" w:styleId="WW8Num5z0">
    <w:name w:val="WW8Num5z0"/>
    <w:qFormat/>
    <w:rPr>
      <w:rFonts w:ascii="Helvetica" w:hAnsi="Helvetica" w:cs="Helvetica"/>
      <w:b w:val="false"/>
      <w:i w:val="false"/>
      <w:sz w:val="21"/>
      <w:u w:val="none"/>
    </w:rPr>
  </w:style>
  <w:style w:type="character" w:styleId="WW8Num6z0">
    <w:name w:val="WW8Num6z0"/>
    <w:qFormat/>
    <w:rPr/>
  </w:style>
  <w:style w:type="character" w:styleId="WW8Num7z0">
    <w:name w:val="WW8Num7z0"/>
    <w:qFormat/>
    <w:rPr>
      <w:rFonts w:ascii="Helvetica" w:hAnsi="Helvetica" w:cs="Helvetica"/>
      <w:b w:val="false"/>
      <w:i w:val="false"/>
      <w:sz w:val="21"/>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ID">
    <w:name w:val="DocID"/>
    <w:basedOn w:val="DefaultParagraphFont"/>
    <w:qFormat/>
    <w:rPr>
      <w:rFonts w:ascii="Helvetica" w:hAnsi="Helvetica" w:cs="Helvetica"/>
      <w:sz w:val="24"/>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both"/>
    </w:pPr>
    <w:rPr>
      <w:b/>
      <w:spacing w:val="-3"/>
      <w:sz w:val="20"/>
      <w:lang w:val="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Conf">
    <w:name w:val="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Other">
    <w:name w:val="Other"/>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erConf">
    <w:name w:val="Per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riConf">
    <w:name w:val="Pri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AtyCliP">
    <w:name w:val="AtyCliP"/>
    <w:qFormat/>
    <w:pPr>
      <w:widowControl w:val="false"/>
      <w:tabs>
        <w:tab w:val="clear" w:pos="720"/>
        <w:tab w:val="left" w:pos="-720" w:leader="none"/>
      </w:tabs>
      <w:suppressAutoHyphens w:val="true"/>
      <w:bidi w:val="0"/>
      <w:jc w:val="end"/>
    </w:pPr>
    <w:rPr>
      <w:rFonts w:ascii="Helvetica" w:hAnsi="Helvetica" w:eastAsia="Times New Roman" w:cs="Helvetica"/>
      <w:b/>
      <w:color w:val="auto"/>
      <w:sz w:val="24"/>
      <w:szCs w:val="20"/>
      <w:lang w:val="en-US" w:bidi="ar-SA" w:eastAsia="zh-CN"/>
    </w:rPr>
  </w:style>
  <w:style w:type="paragraph" w:styleId="Draft">
    <w:name w:val="Draft"/>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20" w:leader="none"/>
      </w:tabs>
      <w:suppressAutoHyphens w:val="true"/>
      <w:ind w:hanging="0" w:start="0" w:end="-14"/>
      <w:jc w:val="both"/>
    </w:pPr>
    <w:rPr>
      <w:spacing w:val="-2"/>
      <w:sz w:val="20"/>
      <w:lang w:val="en-US"/>
    </w:rPr>
  </w:style>
  <w:style w:type="paragraph" w:styleId="Justified">
    <w:name w:val="Justified"/>
    <w:basedOn w:val="Normal"/>
    <w:next w:val="Heading2"/>
    <w:qFormat/>
    <w:pPr>
      <w:spacing w:before="0" w:after="120"/>
      <w:jc w:val="both"/>
    </w:pPr>
    <w:rPr>
      <w:rFonts w:ascii="Arial" w:hAnsi="Arial" w:cs="Arial"/>
      <w:sz w:val="22"/>
      <w:lang w:val="en-US"/>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lang w:val="en-US"/>
    </w:rPr>
  </w:style>
  <w:style w:type="paragraph" w:styleId="BodyTextIndent">
    <w:name w:val="Body Text Indent"/>
    <w:basedOn w:val="Normal"/>
    <w:pPr>
      <w:widowControl/>
      <w:spacing w:lineRule="exact" w:line="240" w:before="240" w:after="0"/>
      <w:ind w:hanging="0" w:start="720" w:end="0"/>
      <w:jc w:val="both"/>
    </w:pPr>
    <w:rPr>
      <w:rFonts w:ascii="Times New Roman" w:hAnsi="Times New Roman" w:cs="Times New Roman"/>
      <w:sz w:val="22"/>
      <w:lang w:val="en-US"/>
    </w:rPr>
  </w:style>
  <w:style w:type="paragraph" w:styleId="BodyTextIndent2">
    <w:name w:val="Body Text Indent 2"/>
    <w:basedOn w:val="Normal"/>
    <w:qFormat/>
    <w:pPr>
      <w:ind w:hanging="0" w:start="720" w:end="0"/>
      <w:jc w:val="both"/>
    </w:pPr>
    <w:rPr>
      <w:color w:val="000000"/>
      <w:sz w:val="20"/>
    </w:rPr>
  </w:style>
  <w:style w:type="paragraph" w:styleId="Expanded">
    <w:name w:val="Expanded"/>
    <w:basedOn w:val="Normal"/>
    <w:next w:val="Normal"/>
    <w:qFormat/>
    <w:pPr>
      <w:widowControl/>
      <w:spacing w:before="0" w:after="240"/>
      <w:jc w:val="center"/>
    </w:pPr>
    <w:rPr>
      <w:rFonts w:ascii="Times New Roman" w:hAnsi="Times New Roman" w:cs="Times New Roman"/>
      <w:b/>
      <w:caps/>
      <w:spacing w:val="60"/>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2002-02-03T17:19:00Z</dcterms:created>
  <dc:creator>Microsoft Word User</dc:creator>
  <dc:description/>
  <dc:language>en-CA</dc:language>
  <cp:lastModifiedBy>cstclai</cp:lastModifiedBy>
  <cp:lastPrinted>2002-02-03T13:50:00Z</cp:lastPrinted>
  <dcterms:modified xsi:type="dcterms:W3CDTF">2002-02-03T17:20:00Z</dcterms:modified>
  <cp:revision>3</cp:revision>
  <dc:subject/>
  <dc:title>	[ISDA CREDIT SUPPORT ANNEX - TWO WAY THRESHOLD]</dc:title>
</cp:coreProperties>
</file>