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b/>
        </w:rPr>
      </w:pPr>
      <w:r>
        <w:rPr>
          <w:b/>
        </w:rPr>
        <w:drawing>
          <wp:inline distT="0" distB="0" distL="0" distR="0">
            <wp:extent cx="4116705" cy="837565"/>
            <wp:effectExtent l="0" t="0" r="0" b="0"/>
            <wp:docPr id="1" name="new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 descr="" title=""/>
                    <pic:cNvPicPr>
                      <a:picLocks noChangeAspect="1" noChangeArrowheads="1"/>
                    </pic:cNvPicPr>
                  </pic:nvPicPr>
                  <pic:blipFill>
                    <a:blip r:embed="rId2"/>
                    <a:srcRect l="-7" t="-36" r="-7" b="-36"/>
                    <a:stretch>
                      <a:fillRect/>
                    </a:stretch>
                  </pic:blipFill>
                  <pic:spPr bwMode="auto">
                    <a:xfrm>
                      <a:off x="0" y="0"/>
                      <a:ext cx="4116705" cy="837565"/>
                    </a:xfrm>
                    <a:prstGeom prst="rect">
                      <a:avLst/>
                    </a:prstGeom>
                    <a:noFill/>
                  </pic:spPr>
                </pic:pic>
              </a:graphicData>
            </a:graphic>
          </wp:inline>
        </w:drawing>
      </w:r>
    </w:p>
    <w:p>
      <w:pPr>
        <w:pStyle w:val="Normal"/>
        <w:rPr>
          <w:b/>
          <w:sz w:val="22"/>
        </w:rPr>
      </w:pPr>
      <w:r>
        <w:rPr>
          <w:b/>
          <w:sz w:val="22"/>
        </w:rPr>
      </w:r>
    </w:p>
    <w:p>
      <w:pPr>
        <w:pStyle w:val="Heading3"/>
        <w:ind w:hanging="0" w:start="0"/>
        <w:rPr>
          <w:b/>
          <w:sz w:val="28"/>
        </w:rPr>
      </w:pPr>
      <w:r>
        <w:rPr>
          <w:b/>
          <w:sz w:val="28"/>
        </w:rPr>
        <w:t>FOR IMMEDIATE RELEASE</w:t>
      </w:r>
    </w:p>
    <w:p>
      <w:pPr>
        <w:pStyle w:val="Normal"/>
        <w:jc w:val="end"/>
        <w:rPr>
          <w:rFonts w:ascii="Arial" w:hAnsi="Arial" w:eastAsia="Arial" w:cs="Arial"/>
          <w:sz w:val="22"/>
        </w:rPr>
      </w:pPr>
      <w:r>
        <w:rPr>
          <w:rFonts w:eastAsia="Arial" w:cs="Arial" w:ascii="Arial" w:hAnsi="Arial"/>
          <w:sz w:val="22"/>
        </w:rPr>
        <w:t xml:space="preserve"> </w:t>
      </w:r>
    </w:p>
    <w:p>
      <w:pPr>
        <w:pStyle w:val="Normal"/>
        <w:jc w:val="end"/>
        <w:rPr>
          <w:rFonts w:ascii="Arial" w:hAnsi="Arial" w:cs="Arial"/>
          <w:sz w:val="18"/>
        </w:rPr>
      </w:pPr>
      <w:r>
        <w:rPr>
          <w:rFonts w:cs="Arial" w:ascii="Arial" w:hAnsi="Arial"/>
          <w:sz w:val="18"/>
        </w:rPr>
        <w:t>For More Information Contact:</w:t>
      </w:r>
    </w:p>
    <w:p>
      <w:pPr>
        <w:pStyle w:val="Normal"/>
        <w:jc w:val="end"/>
        <w:rPr>
          <w:rFonts w:ascii="Arial" w:hAnsi="Arial" w:cs="Arial"/>
          <w:sz w:val="18"/>
        </w:rPr>
      </w:pPr>
      <w:r>
        <w:rPr>
          <w:rFonts w:cs="Arial" w:ascii="Arial" w:hAnsi="Arial"/>
          <w:sz w:val="18"/>
        </w:rPr>
        <w:t>Keith Voight, 202-508-5683</w:t>
      </w:r>
    </w:p>
    <w:p>
      <w:pPr>
        <w:pStyle w:val="Normal"/>
        <w:jc w:val="end"/>
        <w:rPr>
          <w:rFonts w:ascii="Arial" w:hAnsi="Arial" w:cs="Arial"/>
          <w:sz w:val="18"/>
        </w:rPr>
      </w:pPr>
      <w:hyperlink r:id="rId3">
        <w:r>
          <w:rPr>
            <w:rStyle w:val="Hyperlink"/>
            <w:rFonts w:cs="Arial" w:ascii="Arial" w:hAnsi="Arial"/>
            <w:sz w:val="18"/>
          </w:rPr>
          <w:t>Kvoight@eei.org</w:t>
        </w:r>
      </w:hyperlink>
    </w:p>
    <w:p>
      <w:pPr>
        <w:pStyle w:val="Normal"/>
        <w:jc w:val="end"/>
        <w:rPr>
          <w:rFonts w:ascii="Arial" w:hAnsi="Arial" w:cs="Arial"/>
          <w:sz w:val="18"/>
        </w:rPr>
      </w:pPr>
      <w:r>
        <w:rPr>
          <w:rFonts w:cs="Arial" w:ascii="Arial" w:hAnsi="Arial"/>
          <w:sz w:val="18"/>
        </w:rPr>
        <w:t>Jim Owen, 202-508-5659</w:t>
      </w:r>
    </w:p>
    <w:p>
      <w:pPr>
        <w:pStyle w:val="Heading1"/>
        <w:ind w:hanging="0" w:start="0"/>
        <w:jc w:val="end"/>
        <w:rPr>
          <w:rFonts w:ascii="Arial" w:hAnsi="Arial" w:cs="Arial"/>
          <w:b/>
          <w:sz w:val="18"/>
        </w:rPr>
      </w:pPr>
      <w:hyperlink r:id="rId4">
        <w:r>
          <w:rPr>
            <w:rStyle w:val="Hyperlink"/>
            <w:rFonts w:cs="Arial" w:ascii="Arial" w:hAnsi="Arial"/>
            <w:sz w:val="18"/>
          </w:rPr>
          <w:t>Jowen@eei.org</w:t>
        </w:r>
      </w:hyperlink>
    </w:p>
    <w:p>
      <w:pPr>
        <w:pStyle w:val="Heading1"/>
        <w:ind w:hanging="0" w:start="0"/>
        <w:rPr>
          <w:rFonts w:ascii="Arial" w:hAnsi="Arial" w:cs="Arial"/>
          <w:b/>
          <w:sz w:val="28"/>
        </w:rPr>
      </w:pPr>
      <w:r>
        <w:rPr>
          <w:rFonts w:cs="Arial" w:ascii="Arial" w:hAnsi="Arial"/>
          <w:b/>
          <w:sz w:val="28"/>
        </w:rPr>
      </w:r>
    </w:p>
    <w:p>
      <w:pPr>
        <w:pStyle w:val="Heading1"/>
        <w:ind w:hanging="0" w:start="0"/>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r>
    </w:p>
    <w:p>
      <w:pPr>
        <w:pStyle w:val="Heading1"/>
        <w:ind w:hanging="0" w:start="0"/>
        <w:jc w:val="both"/>
        <w:rPr>
          <w:rFonts w:ascii="Arial" w:hAnsi="Arial" w:cs="Arial"/>
          <w:b/>
          <w:sz w:val="28"/>
        </w:rPr>
      </w:pPr>
      <w:r>
        <w:rPr>
          <w:rFonts w:cs="Arial" w:ascii="Arial" w:hAnsi="Arial"/>
          <w:b/>
          <w:sz w:val="28"/>
        </w:rPr>
        <w:t>Energy Groups Join Forces to Develop Uniform Business Practices</w:t>
      </w:r>
    </w:p>
    <w:p>
      <w:pPr>
        <w:pStyle w:val="Normal"/>
        <w:spacing w:lineRule="auto" w:line="480"/>
        <w:jc w:val="both"/>
        <w:rPr>
          <w:rFonts w:ascii="Arial" w:hAnsi="Arial" w:cs="Arial"/>
          <w:b/>
          <w:sz w:val="24"/>
        </w:rPr>
      </w:pPr>
      <w:r>
        <w:rPr>
          <w:rFonts w:cs="Arial" w:ascii="Arial" w:hAnsi="Arial"/>
          <w:b/>
          <w:sz w:val="24"/>
        </w:rPr>
      </w:r>
    </w:p>
    <w:p>
      <w:pPr>
        <w:pStyle w:val="Normal"/>
        <w:spacing w:lineRule="auto" w:line="360"/>
        <w:jc w:val="both"/>
        <w:rPr/>
      </w:pPr>
      <w:r>
        <w:rPr>
          <w:rFonts w:cs="Arial" w:ascii="Arial" w:hAnsi="Arial"/>
          <w:b/>
          <w:sz w:val="24"/>
        </w:rPr>
        <w:t>Washington, DC  [XX, 1999]—</w:t>
      </w:r>
      <w:r>
        <w:rPr>
          <w:rFonts w:cs="Arial" w:ascii="Arial" w:hAnsi="Arial"/>
          <w:sz w:val="24"/>
        </w:rPr>
        <w:t>Edison Electric Institute (EEI), Coalition for Uniform Business Rules</w:t>
      </w:r>
      <w:r>
        <w:rPr/>
        <w:t xml:space="preserve"> </w:t>
      </w:r>
      <w:r>
        <w:rPr>
          <w:sz w:val="24"/>
        </w:rPr>
        <w:t>(</w:t>
      </w:r>
      <w:r>
        <w:rPr>
          <w:rFonts w:cs="Arial" w:ascii="Arial" w:hAnsi="Arial"/>
          <w:sz w:val="24"/>
        </w:rPr>
        <w:t>CUBR), National Energy Marketers Association, and the Electric Power Supply Association today announced a partnership to develop a consensus-driven set of uniform business practices for the nation’s newly competitive electricity markets.  This move signals an unprecedented cooperative effort to seek the broadest industry consensus to establish the infrastructure necessary to deliver the lowest-cost, most efficient supply of energy to consumers across the country.</w:t>
      </w:r>
    </w:p>
    <w:p>
      <w:pPr>
        <w:pStyle w:val="Normal"/>
        <w:spacing w:lineRule="auto" w:line="360"/>
        <w:jc w:val="both"/>
        <w:rPr>
          <w:rFonts w:ascii="Arial" w:hAnsi="Arial" w:cs="Arial"/>
          <w:sz w:val="24"/>
        </w:rPr>
      </w:pPr>
      <w:r>
        <w:rPr>
          <w:rFonts w:cs="Arial" w:ascii="Arial" w:hAnsi="Arial"/>
          <w:sz w:val="24"/>
        </w:rPr>
      </w:r>
    </w:p>
    <w:p>
      <w:pPr>
        <w:pStyle w:val="Normal"/>
        <w:spacing w:lineRule="auto" w:line="360"/>
        <w:jc w:val="both"/>
        <w:rPr>
          <w:rFonts w:ascii="Arial" w:hAnsi="Arial" w:cs="Arial"/>
          <w:sz w:val="24"/>
        </w:rPr>
      </w:pPr>
      <w:r>
        <w:rPr>
          <w:rFonts w:cs="Arial" w:ascii="Arial" w:hAnsi="Arial"/>
          <w:sz w:val="24"/>
        </w:rPr>
        <w:t>“</w:t>
      </w:r>
      <w:r>
        <w:rPr>
          <w:rFonts w:cs="Arial" w:ascii="Arial" w:hAnsi="Arial"/>
          <w:sz w:val="24"/>
        </w:rPr>
        <w:t>EEI is assembling a true collaboration to establish the business practices, with representatives from the key stakeholders—the customer, electricity marketer, delivery company, and the regulatory community,” said EEI’s Mike McGrath, Group Director, Energy Services.  “CUBR has developed a substantive starting point for the practices, procedures, and formats that could govern the new marketplace.  We both believe this partnership can now deliver the most effective and efficient set of business practices.”</w:t>
      </w:r>
    </w:p>
    <w:p>
      <w:pPr>
        <w:pStyle w:val="Normal"/>
        <w:spacing w:lineRule="auto" w:line="360"/>
        <w:jc w:val="both"/>
        <w:rPr>
          <w:rFonts w:ascii="Arial" w:hAnsi="Arial" w:cs="Arial"/>
          <w:sz w:val="24"/>
        </w:rPr>
      </w:pPr>
      <w:r>
        <w:rPr>
          <w:rFonts w:cs="Arial" w:ascii="Arial" w:hAnsi="Arial"/>
          <w:sz w:val="24"/>
        </w:rPr>
      </w:r>
    </w:p>
    <w:p>
      <w:pPr>
        <w:pStyle w:val="BodyText"/>
        <w:spacing w:lineRule="auto" w:line="360"/>
        <w:jc w:val="both"/>
        <w:rPr/>
      </w:pPr>
      <w:r>
        <w:rPr/>
        <w:t>Jeff Brown with Enron, one of the organizers of CUBR, a group representing retail energy marketing companies and organizations, said,  “We have been developing a set of proposals that, as a team with EEI, we can now make available for the broadest possible industry consensus.   Working together will not only accelerate the process, but will ensure a widely accepted set of practices.”</w:t>
      </w:r>
    </w:p>
    <w:p>
      <w:pPr>
        <w:pStyle w:val="BodyText"/>
        <w:spacing w:lineRule="auto" w:line="360"/>
        <w:jc w:val="both"/>
        <w:rPr/>
      </w:pPr>
      <w:r>
        <w:rPr/>
      </w:r>
    </w:p>
    <w:p>
      <w:pPr>
        <w:pStyle w:val="BodyText"/>
        <w:spacing w:lineRule="auto" w:line="360"/>
        <w:jc w:val="both"/>
        <w:rPr/>
      </w:pPr>
      <w:r>
        <w:rPr/>
        <w:t xml:space="preserve">At NEMA, Craig Goodman said, “All stakeholders will be welcomed into the process.  We want to include everyone who can help us develop good practices.” </w:t>
      </w:r>
    </w:p>
    <w:p>
      <w:pPr>
        <w:pStyle w:val="BodyText"/>
        <w:spacing w:lineRule="auto" w:line="360"/>
        <w:jc w:val="both"/>
        <w:rPr/>
      </w:pPr>
      <w:r>
        <w:rPr/>
      </w:r>
    </w:p>
    <w:p>
      <w:pPr>
        <w:pStyle w:val="BodyText"/>
        <w:spacing w:lineRule="auto" w:line="360"/>
        <w:jc w:val="both"/>
        <w:rPr/>
      </w:pPr>
      <w:r>
        <w:rPr/>
        <w:t xml:space="preserve">At issue are state rules that govern the complex, back-office operations which accompany a competitive retail electric marketplace.  Examples include how and when marketers and delivery companies notify each other when customers are newly enrolled or request changes in their service; and how, when, and in what format they exchange data on such things as a customer’s historical energy use, meter readings and billing details. </w:t>
      </w:r>
    </w:p>
    <w:p>
      <w:pPr>
        <w:pStyle w:val="Normal"/>
        <w:spacing w:lineRule="auto" w:line="360"/>
        <w:jc w:val="both"/>
        <w:rPr>
          <w:rFonts w:ascii="Arial" w:hAnsi="Arial" w:cs="Arial"/>
          <w:sz w:val="24"/>
        </w:rPr>
      </w:pPr>
      <w:r>
        <w:rPr>
          <w:rFonts w:cs="Arial" w:ascii="Arial" w:hAnsi="Arial"/>
          <w:sz w:val="24"/>
        </w:rPr>
      </w:r>
    </w:p>
    <w:p>
      <w:pPr>
        <w:pStyle w:val="Normal"/>
        <w:spacing w:lineRule="auto" w:line="360"/>
        <w:jc w:val="both"/>
        <w:rPr>
          <w:rFonts w:ascii="Arial" w:hAnsi="Arial" w:cs="Arial"/>
          <w:sz w:val="24"/>
        </w:rPr>
      </w:pPr>
      <w:r>
        <w:rPr>
          <w:rFonts w:cs="Arial" w:ascii="Arial" w:hAnsi="Arial"/>
          <w:sz w:val="24"/>
        </w:rPr>
        <w:t>“</w:t>
      </w:r>
      <w:r>
        <w:rPr>
          <w:rFonts w:cs="Arial" w:ascii="Arial" w:hAnsi="Arial"/>
          <w:sz w:val="24"/>
        </w:rPr>
        <w:t>The problem in today’s freewheeling competitive retail electric markets,”  said McGrath, “is that business practices not only vary from state to state, but sometimes from company to company within a single state.</w:t>
      </w:r>
    </w:p>
    <w:p>
      <w:pPr>
        <w:pStyle w:val="Normal"/>
        <w:spacing w:lineRule="auto" w:line="360"/>
        <w:jc w:val="both"/>
        <w:rPr>
          <w:rFonts w:ascii="Arial" w:hAnsi="Arial" w:cs="Arial"/>
          <w:sz w:val="24"/>
        </w:rPr>
      </w:pPr>
      <w:r>
        <w:rPr>
          <w:rFonts w:cs="Arial" w:ascii="Arial" w:hAnsi="Arial"/>
          <w:sz w:val="24"/>
        </w:rPr>
      </w:r>
    </w:p>
    <w:p>
      <w:pPr>
        <w:pStyle w:val="BodyText"/>
        <w:spacing w:lineRule="auto" w:line="360"/>
        <w:jc w:val="both"/>
        <w:rPr/>
      </w:pPr>
      <w:r>
        <w:rPr/>
        <w:t>“</w:t>
      </w:r>
      <w:r>
        <w:rPr/>
        <w:t xml:space="preserve">These uniform business transactions would lower barriers to market entry, encourage new product lines, reduce utility distribution company system costs to accommodate retail access, and enable customers to benefit from more price and product alternatives.” </w:t>
      </w:r>
    </w:p>
    <w:p>
      <w:pPr>
        <w:pStyle w:val="BodyText"/>
        <w:spacing w:lineRule="auto" w:line="360"/>
        <w:jc w:val="both"/>
        <w:rPr/>
      </w:pPr>
      <w:r>
        <w:rPr/>
      </w:r>
    </w:p>
    <w:p>
      <w:pPr>
        <w:pStyle w:val="BodyText"/>
        <w:spacing w:lineRule="auto" w:line="360"/>
        <w:jc w:val="both"/>
        <w:rPr/>
      </w:pPr>
      <w:r>
        <w:rPr/>
        <w:t>A Joint Industry Consensus Document, offering a set of proposals, will now be posted on an interactive website developed by EEI.  Stakeholders will be able to post comments about the proposals, submit proposals, and view other stakeholder suggestions as well.</w:t>
      </w:r>
    </w:p>
    <w:p>
      <w:pPr>
        <w:pStyle w:val="BodyText"/>
        <w:spacing w:lineRule="auto" w:line="360"/>
        <w:jc w:val="both"/>
        <w:rPr/>
      </w:pPr>
      <w:r>
        <w:rPr/>
      </w:r>
    </w:p>
    <w:p>
      <w:pPr>
        <w:pStyle w:val="BodyText"/>
        <w:spacing w:lineRule="auto" w:line="360"/>
        <w:jc w:val="both"/>
        <w:rPr/>
      </w:pPr>
      <w:r>
        <w:rPr/>
        <w:t>“</w:t>
      </w:r>
      <w:r>
        <w:rPr/>
        <w:t xml:space="preserve">Workshops around the country will then be held for all interested parties, including regulators, utilities, power marketers, and consumers to resolve gaps between tendered comments and the nominated practices, again using a consensus approach,” said EPSA’s Mark Bennett.  </w:t>
      </w:r>
    </w:p>
    <w:p>
      <w:pPr>
        <w:pStyle w:val="BodyText"/>
        <w:spacing w:lineRule="auto" w:line="360"/>
        <w:jc w:val="both"/>
        <w:rPr/>
      </w:pPr>
      <w:r>
        <w:rPr/>
      </w:r>
    </w:p>
    <w:p>
      <w:pPr>
        <w:pStyle w:val="BodyText"/>
        <w:spacing w:lineRule="auto" w:line="360"/>
        <w:jc w:val="both"/>
        <w:rPr/>
      </w:pPr>
      <w:r>
        <w:rPr/>
        <w:t xml:space="preserve">A final document is set for the beginning of the new year. </w:t>
      </w:r>
    </w:p>
    <w:p>
      <w:pPr>
        <w:pStyle w:val="BodyText"/>
        <w:spacing w:lineRule="auto" w:line="360"/>
        <w:jc w:val="both"/>
        <w:rPr/>
      </w:pPr>
      <w:r>
        <w:rPr/>
      </w:r>
    </w:p>
    <w:p>
      <w:pPr>
        <w:pStyle w:val="BodyText"/>
        <w:spacing w:lineRule="auto" w:line="360"/>
        <w:jc w:val="both"/>
        <w:rPr/>
      </w:pPr>
      <w:r>
        <w:rPr/>
      </w:r>
    </w:p>
    <w:p>
      <w:pPr>
        <w:pStyle w:val="BodyText"/>
        <w:spacing w:lineRule="auto" w:line="360"/>
        <w:jc w:val="both"/>
        <w:rPr/>
      </w:pPr>
      <w:r>
        <w:rPr/>
      </w:r>
    </w:p>
    <w:p>
      <w:pPr>
        <w:pStyle w:val="Normal"/>
        <w:spacing w:lineRule="auto" w:line="480"/>
        <w:jc w:val="both"/>
        <w:rPr>
          <w:rFonts w:ascii="Arial" w:hAnsi="Arial" w:cs="Arial"/>
          <w:b/>
          <w:sz w:val="32"/>
        </w:rPr>
      </w:pPr>
      <w:r>
        <w:rPr>
          <w:rFonts w:cs="Arial" w:ascii="Arial" w:hAnsi="Arial"/>
          <w:b/>
          <w:sz w:val="32"/>
        </w:rPr>
      </w:r>
    </w:p>
    <w:p>
      <w:pPr>
        <w:pStyle w:val="Normal"/>
        <w:spacing w:lineRule="auto" w:line="480"/>
        <w:jc w:val="center"/>
        <w:rPr>
          <w:rFonts w:ascii="Arial" w:hAnsi="Arial" w:cs="Arial"/>
          <w:b/>
          <w:sz w:val="32"/>
        </w:rPr>
      </w:pPr>
      <w:r>
        <w:rPr>
          <w:rFonts w:cs="Arial" w:ascii="Arial" w:hAnsi="Arial"/>
          <w:b/>
          <w:sz w:val="32"/>
        </w:rPr>
        <w:t>-EEI-</w:t>
      </w:r>
    </w:p>
    <w:p>
      <w:pPr>
        <w:pStyle w:val="BodyText"/>
        <w:spacing w:lineRule="auto" w:line="240"/>
        <w:jc w:val="center"/>
        <w:rPr>
          <w:sz w:val="18"/>
        </w:rPr>
      </w:pPr>
      <w:r>
        <w:rPr>
          <w:sz w:val="18"/>
        </w:rPr>
        <w:t>Edison Electric Institute (EEI) is the association of United States investor-owned electric utilities and industry affiliates and associates worldwide.  Its domestic members generate approximately three-quarters of all the electricity generated by electric utilities in the country and service about 70 percent of all ultimate customers in the nation.</w:t>
      </w:r>
    </w:p>
    <w:sectPr>
      <w:headerReference w:type="default" r:id="rId5"/>
      <w:footerReference w:type="default" r:id="rId6"/>
      <w:type w:val="nextPage"/>
      <w:pgSz w:w="12240" w:h="15840"/>
      <w:pgMar w:left="2880" w:right="28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1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40"/>
      </w:rPr>
    </w:pPr>
    <w:r>
      <w:rPr>
        <w:rFonts w:cs="Arial" w:ascii="Arial" w:hAnsi="Arial"/>
        <w:b/>
        <w:sz w:val="40"/>
      </w:rPr>
      <w:t xml:space="preserve">DRAFT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3">
    <w:name w:val="heading 3"/>
    <w:basedOn w:val="Normal"/>
    <w:next w:val="Normal"/>
    <w:qFormat/>
    <w:pPr>
      <w:keepNext w:val="true"/>
      <w:numPr>
        <w:ilvl w:val="2"/>
        <w:numId w:val="1"/>
      </w:numPr>
      <w:jc w:val="end"/>
      <w:outlineLvl w:val="2"/>
    </w:pPr>
    <w:rPr>
      <w:rFonts w:ascii="Arial" w:hAnsi="Arial" w:cs="Arial"/>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Kvoight@eei.org" TargetMode="External"/><Relationship Id="rId4" Type="http://schemas.openxmlformats.org/officeDocument/2006/relationships/hyperlink" Target="mailto:Jowen@eei.org"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1999-09-24T14:51:00Z</dcterms:created>
  <dc:creator>Type your name here</dc:creator>
  <dc:description/>
  <dc:language>en-CA</dc:language>
  <cp:lastModifiedBy>Type your name here</cp:lastModifiedBy>
  <cp:lastPrinted>1999-09-27T15:15:00Z</cp:lastPrinted>
  <dcterms:modified xsi:type="dcterms:W3CDTF">1999-09-27T17:05:00Z</dcterms:modified>
  <cp:revision>7</cp:revision>
  <dc:subject/>
  <dc:title>EEI,CUBR Join Forces to Develop Uniform Business Practices</dc:title>
</cp:coreProperties>
</file>