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u w:val="double"/>
        </w:rPr>
      </w:pPr>
      <w:r>
        <w:rPr>
          <w:b/>
          <w:u w:val="double"/>
        </w:rPr>
        <w:t>DRAFT 08/28/00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tab/>
        <w:tab/>
        <w:tab/>
        <w:tab/>
        <w:tab/>
        <w:tab/>
      </w:r>
      <w:r>
        <w:rPr>
          <w:b/>
          <w:u w:val="double"/>
        </w:rPr>
        <w:t>September [__]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June 29</w:t>
      </w:r>
      <w:r>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Enron Corp.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1400 Smith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Houston, Texas 77002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LJM 2 Co-Investment, 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333 Clay Street, Suite 1203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Houston, Texas 77002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LJM 2-</w:t>
      </w:r>
      <w:r>
        <w:rPr>
          <w:strike/>
        </w:rPr>
        <w:t>Timberwolf</w:t>
      </w:r>
      <w:r>
        <w:rPr/>
        <w:t xml:space="preserve"> </w:t>
      </w:r>
      <w:r>
        <w:rPr>
          <w:b/>
          <w:u w:val="double"/>
        </w:rPr>
        <w:t>Bobcat</w:t>
      </w:r>
      <w:r>
        <w:rPr/>
        <w:t>, LLC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c/o LJM 2 Co-Investment, 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Re:</w:t>
        <w:tab/>
        <w:t xml:space="preserve">Project Raptor </w:t>
      </w:r>
      <w:r>
        <w:rPr>
          <w:strike/>
        </w:rPr>
        <w:t>II</w:t>
      </w:r>
      <w:r>
        <w:rPr/>
        <w:t xml:space="preserve"> </w:t>
      </w:r>
      <w:r>
        <w:rPr>
          <w:b/>
          <w:u w:val="double"/>
        </w:rPr>
        <w:t>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jc w:val="both"/>
        <w:rPr/>
      </w:pPr>
      <w:r>
        <w:rPr/>
        <w:tab/>
        <w:t xml:space="preserve">We have acted as counsel to </w:t>
      </w:r>
      <w:r>
        <w:rPr>
          <w:strike/>
        </w:rPr>
        <w:t>Grizzly</w:t>
      </w:r>
      <w:r>
        <w:rPr/>
        <w:t xml:space="preserve"> </w:t>
      </w:r>
      <w:r>
        <w:rPr>
          <w:b/>
          <w:u w:val="double"/>
        </w:rPr>
        <w:t>Roadrunner</w:t>
      </w:r>
      <w:r>
        <w:rPr/>
        <w:t xml:space="preserve"> I</w:t>
      </w:r>
      <w:r>
        <w:rPr>
          <w:strike/>
        </w:rPr>
        <w:t>,</w:t>
      </w:r>
      <w:r>
        <w:rPr/>
        <w:t xml:space="preserve"> LLC, a Delaware limited liability company </w:t>
      </w:r>
      <w:r>
        <w:rPr>
          <w:strike/>
        </w:rPr>
        <w:t>("Grizzly"), and Timberwolf</w:t>
      </w:r>
      <w:r>
        <w:rPr>
          <w:b/>
          <w:u w:val="double"/>
        </w:rPr>
        <w:t>("Roadrunner"), and Bobcat</w:t>
      </w:r>
      <w:r>
        <w:rPr/>
        <w:t xml:space="preserve"> I</w:t>
      </w:r>
      <w:r>
        <w:rPr>
          <w:strike/>
        </w:rPr>
        <w:t>,</w:t>
      </w:r>
      <w:r>
        <w:rPr/>
        <w:t xml:space="preserve"> LLC, a Delaware limited liability company </w:t>
      </w:r>
      <w:r>
        <w:rPr>
          <w:strike/>
        </w:rPr>
        <w:t>("Timberwolf")</w:t>
      </w:r>
      <w:r>
        <w:rPr>
          <w:b/>
          <w:u w:val="double"/>
        </w:rPr>
        <w:t>("Bobcat")</w:t>
      </w:r>
      <w:r>
        <w:rPr/>
        <w:t>, and as special counsel to Enron Corp., an Oregon corporation ("</w:t>
      </w:r>
      <w:r>
        <w:rPr>
          <w:u w:val="single"/>
        </w:rPr>
        <w:t>Enron</w:t>
      </w:r>
      <w:r>
        <w:rPr/>
        <w:t xml:space="preserve">"), in connection with certain aspects of the transactions contemplated by the Master Derivatives Agreement dated as of </w:t>
      </w:r>
      <w:r>
        <w:rPr>
          <w:strike/>
        </w:rPr>
        <w:t>June 29</w:t>
      </w:r>
      <w:r>
        <w:rPr/>
        <w:t xml:space="preserve"> </w:t>
      </w:r>
      <w:r>
        <w:rPr>
          <w:b/>
          <w:u w:val="double"/>
        </w:rPr>
        <w:t>September [__]</w:t>
      </w:r>
      <w:r>
        <w:rPr/>
        <w:t>, 2000 (the "</w:t>
      </w:r>
      <w:r>
        <w:rPr>
          <w:u w:val="single"/>
        </w:rPr>
        <w:t>Master Derivatives Agreement</w:t>
      </w:r>
      <w:r>
        <w:rPr/>
        <w:t xml:space="preserve">") between </w:t>
      </w:r>
      <w:r>
        <w:rPr>
          <w:strike/>
        </w:rPr>
        <w:t>Grizzly and Timberwolf</w:t>
      </w:r>
      <w:r>
        <w:rPr/>
        <w:t xml:space="preserve"> </w:t>
      </w:r>
      <w:r>
        <w:rPr>
          <w:b/>
          <w:u w:val="double"/>
        </w:rPr>
        <w:t>Roadrunner and Bobcat</w:t>
      </w:r>
      <w:r>
        <w:rPr/>
        <w:t>, and the related Transaction Documents (as such term is defined in the Master Derivatives Agreement).  This opinion is being delivered to you pursuant to Section 3.01(f) of the Master Derivatives Agreement.  All capitalized terms used herein, but not otherwise defined herein, shall have the meanings assigned to them in the Master Derivatives Agreement.  Other terms that are defined in the Uniform Commercial Code as in effect in the State of New York (the "</w:t>
      </w:r>
      <w:r>
        <w:rPr>
          <w:u w:val="single"/>
        </w:rPr>
        <w:t>New York UCC</w:t>
      </w:r>
      <w:r>
        <w:rPr/>
        <w:t>") have the same meanings when used herein unless otherwise indicated by the context in which such terms are so used.</w:t>
      </w:r>
    </w:p>
    <w:p>
      <w:pPr>
        <w:pStyle w:val="Norma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rendering the opinions expressed below, we have examined the Master Derivatives Agreement, the Enron Put Documents, the Base </w:t>
      </w:r>
      <w:r>
        <w:rPr>
          <w:strike/>
        </w:rPr>
        <w:t>Timberwolf</w:t>
      </w:r>
      <w:r>
        <w:rPr/>
        <w:t xml:space="preserve"> </w:t>
      </w:r>
      <w:r>
        <w:rPr>
          <w:b/>
          <w:u w:val="double"/>
        </w:rPr>
        <w:t>Bobcat</w:t>
      </w:r>
      <w:r>
        <w:rPr/>
        <w:t xml:space="preserve"> Derivative Documents, the </w:t>
      </w:r>
      <w:r>
        <w:rPr>
          <w:strike/>
        </w:rPr>
        <w:t>Grizzly</w:t>
      </w:r>
      <w:r>
        <w:rPr/>
        <w:t xml:space="preserve"> </w:t>
      </w:r>
      <w:r>
        <w:rPr>
          <w:b/>
          <w:u w:val="double"/>
        </w:rPr>
        <w:t>Roadrunner</w:t>
      </w:r>
      <w:r>
        <w:rPr/>
        <w:t xml:space="preserve"> Debt Security, the Enron Guaranty, the Guaranty by Enron, dated as of the date hereof, in favor of </w:t>
      </w:r>
      <w:r>
        <w:rPr>
          <w:strike/>
        </w:rPr>
        <w:t>LJM2—Timberwolf</w:t>
      </w:r>
      <w:r>
        <w:rPr/>
        <w:t xml:space="preserve"> </w:t>
      </w:r>
      <w:r>
        <w:rPr>
          <w:b/>
          <w:u w:val="double"/>
        </w:rPr>
        <w:t>LJM2—Bobcat</w:t>
      </w:r>
      <w:r>
        <w:rPr/>
        <w:t>, LLC (together with the Enron Guaranty, the "</w:t>
      </w:r>
      <w:r>
        <w:rPr>
          <w:u w:val="single"/>
        </w:rPr>
        <w:t>Enron Guaranties</w:t>
      </w:r>
      <w:r>
        <w:rPr/>
        <w:t xml:space="preserve">"), the Stock Purchase Agreement, the Stock Transfer Restriction Agreement, the </w:t>
      </w:r>
      <w:r>
        <w:rPr>
          <w:strike/>
        </w:rPr>
        <w:t>Timberwolf</w:t>
      </w:r>
      <w:r>
        <w:rPr/>
        <w:t xml:space="preserve"> </w:t>
      </w:r>
      <w:r>
        <w:rPr>
          <w:b/>
          <w:u w:val="double"/>
        </w:rPr>
        <w:t>Bobcat</w:t>
      </w:r>
      <w:r>
        <w:rPr/>
        <w:t xml:space="preserve"> Debt Security and the </w:t>
      </w:r>
      <w:r>
        <w:rPr>
          <w:strike/>
        </w:rPr>
        <w:t>Timberwolf</w:t>
      </w:r>
      <w:r>
        <w:rPr/>
        <w:t xml:space="preserve"> </w:t>
      </w:r>
      <w:r>
        <w:rPr>
          <w:b/>
          <w:u w:val="double"/>
        </w:rPr>
        <w:t>Bobcat</w:t>
      </w:r>
      <w:r>
        <w:rPr/>
        <w:t xml:space="preserve"> Security Agreement (collectively, the "</w:t>
      </w:r>
      <w:r>
        <w:rPr>
          <w:u w:val="single"/>
        </w:rPr>
        <w:t>Opinion Documents</w:t>
      </w:r>
      <w:r>
        <w:rPr/>
        <w:t xml:space="preserve">"), and the financing statement naming </w:t>
      </w:r>
      <w:r>
        <w:rPr>
          <w:strike/>
        </w:rPr>
        <w:t>Timberwolf</w:t>
      </w:r>
      <w:r>
        <w:rPr/>
        <w:t xml:space="preserve"> </w:t>
      </w:r>
      <w:r>
        <w:rPr>
          <w:b/>
          <w:u w:val="double"/>
        </w:rPr>
        <w:t>Bobcat</w:t>
      </w:r>
      <w:r>
        <w:rPr/>
        <w:t xml:space="preserve"> as debtor and the Collateral Agent (as defined in the </w:t>
      </w:r>
      <w:r>
        <w:rPr>
          <w:strike/>
        </w:rPr>
        <w:t>Timberwolf</w:t>
      </w:r>
      <w:r>
        <w:rPr/>
        <w:t xml:space="preserve"> </w:t>
      </w:r>
      <w:r>
        <w:rPr>
          <w:b/>
          <w:u w:val="double"/>
        </w:rPr>
        <w:t>Bobcat</w:t>
      </w:r>
      <w:r>
        <w:rPr/>
        <w:t xml:space="preserve"> Security Agreement) as secured party to be filed in connection with the </w:t>
      </w:r>
      <w:r>
        <w:rPr>
          <w:strike/>
        </w:rPr>
        <w:t>Timberwolf</w:t>
      </w:r>
      <w:r>
        <w:rPr/>
        <w:t xml:space="preserve"> </w:t>
      </w:r>
      <w:r>
        <w:rPr>
          <w:b/>
          <w:u w:val="double"/>
        </w:rPr>
        <w:t>Bobcat</w:t>
      </w:r>
      <w:r>
        <w:rPr/>
        <w:t xml:space="preserve"> Security Agreement (the "</w:t>
      </w:r>
      <w:r>
        <w:rPr>
          <w:u w:val="single"/>
        </w:rPr>
        <w:t>Financing Statement</w:t>
      </w:r>
      <w:r>
        <w:rPr/>
        <w:t xml:space="preserve">"), and have examined and relied upon originals or photostatic or certified copies of such company records, certificates of officers of </w:t>
      </w:r>
      <w:r>
        <w:rPr>
          <w:strike/>
        </w:rPr>
        <w:t>Grizzly, Timberwolf</w:t>
      </w:r>
      <w:r>
        <w:rPr/>
        <w:t xml:space="preserve"> </w:t>
      </w:r>
      <w:r>
        <w:rPr>
          <w:b/>
          <w:u w:val="double"/>
        </w:rPr>
        <w:t>Roadrunner, Bobcat</w:t>
      </w:r>
      <w:r>
        <w:rPr/>
        <w:t xml:space="preserve"> and Enron, and of public officials, and such agreements, documents and instruments, and made such investigations of law, as we have deemed relevant and necessary as the basis for the opinions hereinafter expressed.  We have also examined and relied upon the opinion of James V. Derrick, Jr., Esq., Executive Vice President and General Counsel of Enron, of even date herewith for purposes of rendering our opinions set forth herein.  In such examinations, we have assumed the genuineness of all signatures, the authenticity of all documents submitted to us as originals, and the conformity to original documents of all documents submitted to us as photostatic or certified copies.  When relevant facts were not independently established, we have relied upon certificates of government officials and appropriate representatives of </w:t>
      </w:r>
      <w:r>
        <w:rPr>
          <w:strike/>
        </w:rPr>
        <w:t>Grizzly</w:t>
      </w:r>
      <w:r>
        <w:rPr/>
        <w:t xml:space="preserve"> </w:t>
      </w:r>
      <w:r>
        <w:rPr>
          <w:b/>
          <w:u w:val="double"/>
        </w:rPr>
        <w:t>Roadrunner, Bobcat</w:t>
      </w:r>
      <w:r>
        <w:rPr/>
        <w:t xml:space="preserve"> and Enron and upon representations made in or pursuant to the Transaction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rendering the opinions expressed below, we have assumed, with respect to all of the documents referred to in this opinion letter, that (except to the extent expressly set forth in the opinions below as to </w:t>
      </w:r>
      <w:r>
        <w:rPr>
          <w:strike/>
        </w:rPr>
        <w:t>Grizzly</w:t>
      </w:r>
      <w:r>
        <w:rPr/>
        <w:t xml:space="preserve"> </w:t>
      </w:r>
      <w:r>
        <w:rPr>
          <w:b/>
          <w:u w:val="double"/>
        </w:rPr>
        <w:t>Roadrunner, Bobcat</w:t>
      </w:r>
      <w:r>
        <w:rPr/>
        <w:t xml:space="preserve"> and Enron):  (i) such documents have been duly authorized by, have been duly executed and delivered by, and constitute legal, valid, binding and enforceable obligations of, all of the parties to such documents; (ii) all signatories to such documents have been duly authorized; and (iii) all of the parties to such documents are duly organized and validly existing and have the power and authority (corporate, partnership or other) to execute, deliver and perform such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basis of the foregoing, we are of the opinion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Each of </w:t>
      </w:r>
      <w:r>
        <w:rPr>
          <w:strike/>
        </w:rPr>
        <w:t>Grizzly and Timberwolf</w:t>
      </w:r>
      <w:r>
        <w:rPr/>
        <w:t xml:space="preserve"> </w:t>
      </w:r>
      <w:r>
        <w:rPr>
          <w:b/>
          <w:u w:val="double"/>
        </w:rPr>
        <w:t>Roadrunner and Bobcat</w:t>
      </w:r>
      <w:r>
        <w:rPr/>
        <w:t xml:space="preserve"> is a limited liability company duly formed, validly existing and in good standing, under the law of the State of Delaware.</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 xml:space="preserve">Each of </w:t>
      </w:r>
      <w:r>
        <w:rPr>
          <w:strike/>
        </w:rPr>
        <w:t>Grizzly and Timberwolf</w:t>
      </w:r>
      <w:r>
        <w:rPr/>
        <w:t xml:space="preserve"> </w:t>
      </w:r>
      <w:r>
        <w:rPr>
          <w:b/>
          <w:u w:val="double"/>
        </w:rPr>
        <w:t>Roadrunner and Bobcat</w:t>
      </w:r>
      <w:r>
        <w:rPr/>
        <w:t xml:space="preserve"> has all requisite company power to execute, deliver and perform its respective obligations under each Opinion Document to which it is a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The execution, delivery and performance by each of </w:t>
      </w:r>
      <w:r>
        <w:rPr>
          <w:strike/>
        </w:rPr>
        <w:t>Grizzly and Timberwolf</w:t>
      </w:r>
      <w:r>
        <w:rPr/>
        <w:t xml:space="preserve"> </w:t>
      </w:r>
      <w:r>
        <w:rPr>
          <w:b/>
          <w:u w:val="double"/>
        </w:rPr>
        <w:t>Roadrunner and Bobcat</w:t>
      </w:r>
      <w:r>
        <w:rPr/>
        <w:t xml:space="preserve"> of its respective obligations under each Opinion Document to which it is a party have been duly authorized by all necessary company action on its part.</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 xml:space="preserve">Each Opinion Document to which </w:t>
      </w:r>
      <w:r>
        <w:rPr>
          <w:strike/>
        </w:rPr>
        <w:t>Grizzly</w:t>
      </w:r>
      <w:r>
        <w:rPr/>
        <w:t xml:space="preserve"> </w:t>
      </w:r>
      <w:r>
        <w:rPr>
          <w:b/>
          <w:u w:val="double"/>
        </w:rPr>
        <w:t>Roadrunner</w:t>
      </w:r>
      <w:r>
        <w:rPr/>
        <w:t xml:space="preserve"> is a party has been duly executed and delivered by </w:t>
      </w:r>
      <w:r>
        <w:rPr>
          <w:strike/>
        </w:rPr>
        <w:t>Grizzly</w:t>
      </w:r>
      <w:r>
        <w:rPr/>
        <w:t xml:space="preserve"> </w:t>
      </w:r>
      <w:r>
        <w:rPr>
          <w:b/>
          <w:u w:val="double"/>
        </w:rPr>
        <w:t>Roadrunner</w:t>
      </w:r>
      <w:r>
        <w:rPr/>
        <w:t xml:space="preserve">.  Each Opinion Document to which </w:t>
      </w:r>
      <w:r>
        <w:rPr>
          <w:strike/>
        </w:rPr>
        <w:t>Timberwolf</w:t>
      </w:r>
      <w:r>
        <w:rPr/>
        <w:t xml:space="preserve"> </w:t>
      </w:r>
      <w:r>
        <w:rPr>
          <w:b/>
          <w:u w:val="double"/>
        </w:rPr>
        <w:t>Bobcat</w:t>
      </w:r>
      <w:r>
        <w:rPr/>
        <w:t xml:space="preserve"> is a party has been duly executed and delivered by </w:t>
      </w:r>
      <w:r>
        <w:rPr>
          <w:strike/>
        </w:rPr>
        <w:t>Timberwolf</w:t>
      </w:r>
      <w:r>
        <w:rPr/>
        <w:t xml:space="preserve"> </w:t>
      </w:r>
      <w:r>
        <w:rPr>
          <w:b/>
          <w:u w:val="double"/>
        </w:rPr>
        <w:t>Bobcat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 xml:space="preserve">The execution, delivery and performance by each of </w:t>
      </w:r>
      <w:r>
        <w:rPr>
          <w:strike/>
        </w:rPr>
        <w:t>Grizzly and Timberwolf</w:t>
      </w:r>
      <w:r>
        <w:rPr/>
        <w:t xml:space="preserve"> </w:t>
      </w:r>
      <w:r>
        <w:rPr>
          <w:b/>
          <w:u w:val="double"/>
        </w:rPr>
        <w:t>Roadrunner and Bobcat</w:t>
      </w:r>
      <w:r>
        <w:rPr/>
        <w:t xml:space="preserve"> of each Opinion Document to which it is a party do not contravene, or constitute a default under, (a) any contractual restriction known to us contained in any material  indenture, loan or credit agreement, receivables sale or financing agreement, lease financing agreement, capital lease, mortgage, security agreement, bond or note, or any guaranty of any of such obligations, or any other material agreement that could relate to its ability to perform its obligations under any Opinion Document to which it is a party, or (b) any law or regulation known to us and binding upon it.  The execution, delivery and performance by each of </w:t>
      </w:r>
      <w:r>
        <w:rPr>
          <w:strike/>
        </w:rPr>
        <w:t>Grizzly and Timberwolf</w:t>
      </w:r>
      <w:r>
        <w:rPr/>
        <w:t xml:space="preserve"> </w:t>
      </w:r>
      <w:r>
        <w:rPr>
          <w:b/>
          <w:u w:val="double"/>
        </w:rPr>
        <w:t>Roadrunner and Bobcat</w:t>
      </w:r>
      <w:r>
        <w:rPr/>
        <w:t xml:space="preserve"> of each Opinion Document to which it is a party will not result in the creation or imposition of any lien on any of its respective assets pursuant to any material document referenced in clause (a) of this paragraph 5 other than as may be contemplated in the Opinion Documents, including, without limitation, the </w:t>
      </w:r>
      <w:r>
        <w:rPr>
          <w:strike/>
        </w:rPr>
        <w:t>Timberwolf</w:t>
      </w:r>
      <w:r>
        <w:rPr/>
        <w:t xml:space="preserve"> </w:t>
      </w:r>
      <w:r>
        <w:rPr>
          <w:b/>
          <w:u w:val="double"/>
        </w:rPr>
        <w:t>Bobcat</w:t>
      </w:r>
      <w:r>
        <w:rPr/>
        <w:t xml:space="preserv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 xml:space="preserve">Each of the Opinion Documents to which </w:t>
      </w:r>
      <w:r>
        <w:rPr>
          <w:strike/>
        </w:rPr>
        <w:t>Grizzly or Timberwolf</w:t>
      </w:r>
      <w:r>
        <w:rPr/>
        <w:t xml:space="preserve"> </w:t>
      </w:r>
      <w:r>
        <w:rPr>
          <w:b/>
          <w:u w:val="double"/>
        </w:rPr>
        <w:t>Roadrunner or Bobcat</w:t>
      </w:r>
      <w:r>
        <w:rPr/>
        <w:t xml:space="preserve"> is a party constitutes the legal, valid and binding obligations of </w:t>
      </w:r>
      <w:r>
        <w:rPr>
          <w:strike/>
        </w:rPr>
        <w:t>Grizzly or Timberwolf</w:t>
      </w:r>
      <w:r>
        <w:rPr/>
        <w:t xml:space="preserve"> </w:t>
      </w:r>
      <w:r>
        <w:rPr>
          <w:b/>
          <w:u w:val="double"/>
        </w:rPr>
        <w:t>Roadrunner or Bobcat</w:t>
      </w:r>
      <w:r>
        <w:rPr/>
        <w:t xml:space="preserve">, as the case may be, and is enforceable against </w:t>
      </w:r>
      <w:r>
        <w:rPr>
          <w:strike/>
        </w:rPr>
        <w:t>Grizzly or Timberwolf</w:t>
      </w:r>
      <w:r>
        <w:rPr/>
        <w:t xml:space="preserve"> </w:t>
      </w:r>
      <w:r>
        <w:rPr>
          <w:b/>
          <w:u w:val="double"/>
        </w:rPr>
        <w:t>Roadrunner or Bobcat</w:t>
      </w:r>
      <w:r>
        <w:rPr/>
        <w:t>, as the case may be, except that the enforcement thereof may be subject to (A) bankruptcy, insolvency, reorganization, fraudulent  conveyance or transfer, moratorium or other similar laws now or hereafter in effect relating to creditors' rights generally and (B) general principles of equity (regardless of whether such enforcement is considered in a proceeding in equity or at law) including, without limitation, (1) the possible unavailability of specific performance, injunctive relief or any other equitable remedy and (2) concepts of materiality, reasonableness, good faith and fair dealing.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w:t>
        <w:tab/>
        <w:t xml:space="preserve">Each of the Enron Guaranties, the Enron Put Documents, the </w:t>
      </w:r>
      <w:r>
        <w:rPr>
          <w:strike/>
        </w:rPr>
        <w:t>Timberwolf</w:t>
      </w:r>
      <w:r>
        <w:rPr/>
        <w:t xml:space="preserve"> </w:t>
      </w:r>
      <w:r>
        <w:rPr>
          <w:b/>
          <w:u w:val="double"/>
        </w:rPr>
        <w:t>Bobcat</w:t>
      </w:r>
      <w:r>
        <w:rPr/>
        <w:t xml:space="preserve"> Security Agreement and the Stock Transfer Restriction Agreement constitutes the legal, valid and binding obligations of Enron, and is enforceable against Enron, except that the enforcement thereof may be subject to (A) bankruptcy, insolvency, reorganization, fraudulent  conveyance or transfer, moratorium or other similar laws now or hereafter in effect relating to creditors' rights generally and (B) general principles of equity (regardless of whether such enforcement is considered in a proceeding in equity or at law) including, without limitation, (1) the possible unavailability of specific performance, injunctive relief or any other equitable remedy and (2) concepts of materiality, reasonableness, good faith and fair dealing.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w:t>
        <w:tab/>
        <w:t xml:space="preserve">The </w:t>
      </w:r>
      <w:r>
        <w:rPr>
          <w:strike/>
        </w:rPr>
        <w:t>Timberwolf</w:t>
      </w:r>
      <w:r>
        <w:rPr/>
        <w:t xml:space="preserve"> </w:t>
      </w:r>
      <w:r>
        <w:rPr>
          <w:b/>
          <w:u w:val="double"/>
        </w:rPr>
        <w:t>Bobcat</w:t>
      </w:r>
      <w:r>
        <w:rPr/>
        <w:t xml:space="preserve"> Security Agreement creates a valid security interest in favor of the Collateral Agent in </w:t>
      </w:r>
      <w:r>
        <w:rPr>
          <w:strike/>
        </w:rPr>
        <w:t>Timberwolf’s</w:t>
      </w:r>
      <w:r>
        <w:rPr/>
        <w:t xml:space="preserve"> </w:t>
      </w:r>
      <w:r>
        <w:rPr>
          <w:b/>
          <w:u w:val="double"/>
        </w:rPr>
        <w:t>Bobcat’s</w:t>
      </w:r>
      <w:r>
        <w:rPr/>
        <w:t xml:space="preserve"> right, title and interest in and to the Collateral (as such term is defined in the </w:t>
      </w:r>
      <w:r>
        <w:rPr>
          <w:strike/>
        </w:rPr>
        <w:t>Timberwolf</w:t>
      </w:r>
      <w:r>
        <w:rPr/>
        <w:t xml:space="preserve"> </w:t>
      </w:r>
      <w:r>
        <w:rPr>
          <w:b/>
          <w:u w:val="double"/>
        </w:rPr>
        <w:t>Bobcat</w:t>
      </w:r>
      <w:r>
        <w:rPr/>
        <w:t xml:space="preserve"> Security Agreement), to the extent that the New York UCC is applicable thereto, as security for </w:t>
      </w:r>
      <w:r>
        <w:rPr>
          <w:strike/>
        </w:rPr>
        <w:t>Timberwolf’s</w:t>
      </w:r>
      <w:r>
        <w:rPr/>
        <w:t xml:space="preserve"> </w:t>
      </w:r>
      <w:r>
        <w:rPr>
          <w:b/>
          <w:u w:val="double"/>
        </w:rPr>
        <w:t>Bobcat’s</w:t>
      </w:r>
      <w:r>
        <w:rPr/>
        <w:t xml:space="preserve"> obligations under the Transaction Documents.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w:t>
        <w:tab/>
        <w:t>The Financing Statement is in appropriate form for filing pursuant to the New York UCC and the Uniform Commercial Code as in effect in the State of Delaware (the "</w:t>
      </w:r>
      <w:r>
        <w:rPr>
          <w:u w:val="single"/>
        </w:rPr>
        <w:t>Delaware UCC</w:t>
      </w:r>
      <w:r>
        <w:rPr/>
        <w:t xml:space="preserve">") and the filing of the Financing Statement in the Office of Secretary of State of the State of Delaware will result in the perfection of the security interest in </w:t>
      </w:r>
      <w:r>
        <w:rPr>
          <w:strike/>
        </w:rPr>
        <w:t>Timberwolf's</w:t>
      </w:r>
      <w:r>
        <w:rPr/>
        <w:t xml:space="preserve"> </w:t>
      </w:r>
      <w:r>
        <w:rPr>
          <w:b/>
          <w:u w:val="double"/>
        </w:rPr>
        <w:t>Bobcat's</w:t>
      </w:r>
      <w:r>
        <w:rPr/>
        <w:t xml:space="preserve"> right, title and interest in and to (a) the Securities Accounts (as defined in the </w:t>
      </w:r>
      <w:r>
        <w:rPr>
          <w:strike/>
        </w:rPr>
        <w:t>Timberwolf</w:t>
      </w:r>
      <w:r>
        <w:rPr/>
        <w:t xml:space="preserve"> </w:t>
      </w:r>
      <w:r>
        <w:rPr>
          <w:b/>
          <w:u w:val="double"/>
        </w:rPr>
        <w:t>Bobcat</w:t>
      </w:r>
      <w:r>
        <w:rPr/>
        <w:t xml:space="preserve"> Security Agreement) and the Security Entitlements (as defined in the </w:t>
      </w:r>
      <w:r>
        <w:rPr>
          <w:strike/>
        </w:rPr>
        <w:t>Timberwolf</w:t>
      </w:r>
      <w:r>
        <w:rPr/>
        <w:t xml:space="preserve"> </w:t>
      </w:r>
      <w:r>
        <w:rPr>
          <w:b/>
          <w:u w:val="double"/>
        </w:rPr>
        <w:t>Bobcat</w:t>
      </w:r>
      <w:r>
        <w:rPr/>
        <w:t xml:space="preserve"> Security Agreement) carried therein, and (b) </w:t>
      </w:r>
      <w:r>
        <w:rPr>
          <w:strike/>
        </w:rPr>
        <w:t>Timberwolf's</w:t>
      </w:r>
      <w:r>
        <w:rPr/>
        <w:t xml:space="preserve"> </w:t>
      </w:r>
      <w:r>
        <w:rPr>
          <w:b/>
          <w:u w:val="double"/>
        </w:rPr>
        <w:t>Bobcat's</w:t>
      </w:r>
      <w:r>
        <w:rPr/>
        <w:t xml:space="preserve"> rights under the Transaction Documents, to the extent such rights constitute general intangibles, as defined in Article 9 of the New York UCC and Article 9 of the Delaware UCC, except as follows: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In the case of Collateral which is subject to a state statute or a statute or treaty of the United States which provides for a certificate of title or national or international registration.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In the case of amounts which are due from the United States or any state or territory of the United States or any agency or department of the United States or any state or territory.</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Continuation statements as required by the Delaware UCC must be filed in order to maintain the effectiveness of the filings referred to in this paragraph.</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w:t>
        <w:tab/>
        <w:t xml:space="preserve">Upon the establishment of the Securities Accounts described in Section 2.03 of the </w:t>
      </w:r>
      <w:r>
        <w:rPr>
          <w:strike/>
        </w:rPr>
        <w:t>Timberwolf</w:t>
      </w:r>
      <w:r>
        <w:rPr/>
        <w:t xml:space="preserve"> </w:t>
      </w:r>
      <w:r>
        <w:rPr>
          <w:b/>
          <w:u w:val="double"/>
        </w:rPr>
        <w:t>Bobcat</w:t>
      </w:r>
      <w:r>
        <w:rPr/>
        <w:t xml:space="preserve"> Security Agreement with the Securities Intermediary (as defined in the </w:t>
      </w:r>
      <w:r>
        <w:rPr>
          <w:strike/>
        </w:rPr>
        <w:t>Timberwolf</w:t>
      </w:r>
      <w:r>
        <w:rPr/>
        <w:t xml:space="preserve"> </w:t>
      </w:r>
      <w:r>
        <w:rPr>
          <w:b/>
          <w:u w:val="double"/>
        </w:rPr>
        <w:t>Bobcat</w:t>
      </w:r>
      <w:r>
        <w:rPr/>
        <w:t xml:space="preserve"> Security Agreement), in the name of the Collateral Agent as entitlement holder, in accordance with the </w:t>
      </w:r>
      <w:r>
        <w:rPr>
          <w:strike/>
        </w:rPr>
        <w:t>Timberwolf</w:t>
      </w:r>
      <w:r>
        <w:rPr/>
        <w:t xml:space="preserve"> </w:t>
      </w:r>
      <w:r>
        <w:rPr>
          <w:b/>
          <w:u w:val="double"/>
        </w:rPr>
        <w:t>Bobcat</w:t>
      </w:r>
      <w:r>
        <w:rPr/>
        <w:t xml:space="preserve"> Security Agreement, the security interest of the Collateral Agent in such Securities Accounts, and the Security Entitlements carried in such Securities Accounts, will be perfected by control (as defined in Section 8-106(d) and Section 9-115(e) of the New York UCC) under New York law (and under existing Federal Book-Entry Regulations (as defined in the </w:t>
      </w:r>
      <w:r>
        <w:rPr>
          <w:strike/>
        </w:rPr>
        <w:t>Timberwolf</w:t>
      </w:r>
      <w:r>
        <w:rPr/>
        <w:t xml:space="preserve"> </w:t>
      </w:r>
      <w:r>
        <w:rPr>
          <w:b/>
          <w:u w:val="double"/>
        </w:rPr>
        <w:t>Bobcat</w:t>
      </w:r>
      <w:r>
        <w:rPr/>
        <w:t xml:space="preserve"> Security Agreement)).</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opinions set forth above are subject to the following qualifications: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 xml:space="preserve">In rendering the opinion expressed in paragraph 5 above, we did not make any examination of any accounting or financial matters related to certain of the covenants contained in certain documents to which </w:t>
      </w:r>
      <w:r>
        <w:rPr>
          <w:strike/>
        </w:rPr>
        <w:t>Grizzly or Timberwolf</w:t>
      </w:r>
      <w:r>
        <w:rPr/>
        <w:t xml:space="preserve"> </w:t>
      </w:r>
      <w:r>
        <w:rPr>
          <w:b/>
          <w:u w:val="double"/>
        </w:rPr>
        <w:t>Roadrunner or Bobcat</w:t>
      </w:r>
      <w:r>
        <w:rPr/>
        <w:t xml:space="preserve"> may be subject, and we express no opinion with respect thereto.</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We express no opinion as to the legality, validity, binding nature or enforceability of provisions in any Opinion Document (i) providing for indemnification, contribution or exculpation (and further note that the effectiveness of such provisions may be limited by (A) laws rendering unenforceable indemnification contrary to federal or state securities laws and public policy and (B) laws limiting the enforceability of provisions exculpating or exempting a party from, or requiring indemnification of a party for, liability for its own action or inaction, to the extent such action or inaction involves gross negligence, recklessness or willful or unlawful conduct); (ii) restricting access to courts or purporting to affect the jurisdiction or venue of courts; (iii) setting out methods or procedures for service of process; (iv) to the effect that terms may not be waived or modified except in writing; (v) relating to waivers, precluding a party from asserting certain claims or defenses or from obtaining or exercising certain rights, releases and remedies, or excusing a party from damages, liability or obligations, to the extent such provisions may violate public policy or otherwise violate applicable law; (vi) relating to powers of attorney, severability, set-off, or subrogation rights, delay or omission or enforcement of rights or remedies, or purporting to reinstate an obligation after discharge in bankruptcy; (vii) relating to the exercise of self-help remedies; and (viii) providing that decisions by a party are conclusive or may be made in its sole discretion.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We express no opinion as to the effect of the laws of any jurisdiction in which any lender under any Opinion Document is located (other than the State of New York) that limit the interest payable in respect of any Opinion Document.</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With respect to our opinions in paragraphs 6 and 7 above, we note that certain of the Opinion Documents contain provisions providing for settlement of certain disputes by arbitration.  Although there can be no assurance that the arbitrators will apply principles of New York law in resolving any such dispute or in rendering any related award or that, if principles of New York law are not applied, such failure will not be a basis for a court vacating such award, we have with your permission nevertheless assumed in rendering our opinion in paragraphs 6 and 7 above that the arbitrators will properly apply principles of New York law in rendering any award.  In addition, we express no opinion as to the rules of any arbitral tribunal.</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 xml:space="preserve">Clause (ii) of Section 7 of each of the Enron Guaranties may not be enforceable to the extent that the Obligations (as such term is defined in each of the Enron Guaranties) are materially modified.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 xml:space="preserve">We express no opinion as to (i) any Confirmation (as defined in the Enron Put Documents) delivered under the Enron Put Documents other than the Confirmation attached as Exhibit C to the Master Derivatives Agreement, (ii) any Confirmation (as defined in the Base </w:t>
      </w:r>
      <w:r>
        <w:rPr>
          <w:strike/>
        </w:rPr>
        <w:t>Timberwolf</w:t>
      </w:r>
      <w:r>
        <w:rPr/>
        <w:t xml:space="preserve"> </w:t>
      </w:r>
      <w:r>
        <w:rPr>
          <w:b/>
          <w:u w:val="double"/>
        </w:rPr>
        <w:t>Bobcat</w:t>
      </w:r>
      <w:r>
        <w:rPr/>
        <w:t xml:space="preserve"> Derivative Documents) delivered under the Base </w:t>
      </w:r>
      <w:r>
        <w:rPr>
          <w:strike/>
        </w:rPr>
        <w:t>Timberwolf</w:t>
      </w:r>
      <w:r>
        <w:rPr/>
        <w:t xml:space="preserve"> </w:t>
      </w:r>
      <w:r>
        <w:rPr>
          <w:b/>
          <w:u w:val="double"/>
        </w:rPr>
        <w:t>Bobcat</w:t>
      </w:r>
      <w:r>
        <w:rPr/>
        <w:t xml:space="preserve"> Derivative Documents or (iii) any Transaction (as defined in the Enron Put Documents and Base </w:t>
      </w:r>
      <w:r>
        <w:rPr>
          <w:strike/>
        </w:rPr>
        <w:t>Timberwolf</w:t>
      </w:r>
      <w:r>
        <w:rPr/>
        <w:t xml:space="preserve"> </w:t>
      </w:r>
      <w:r>
        <w:rPr>
          <w:b/>
          <w:u w:val="double"/>
        </w:rPr>
        <w:t>Bobcat</w:t>
      </w:r>
      <w:r>
        <w:rPr/>
        <w:t xml:space="preserve"> Derivative Documents) other than that governed by the Confirmation attached as Exhibit C to the Master Derivatives Agreement.</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In rendering the opinions set forth in paragraphs 9 and 10, we have assumed that all property maintained in or deposited to any Securities Account will constitute a financial asset as defined in Section 8-102(a)(9) of the New York UCC.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 xml:space="preserve">In rendering the opinions set forth in paragraphs 8 through 10, we have assumed that the Collateral Agent is acquiring its interest in the Security Entitlements carried in the Securities Accounts without any notice of an adverse claim, and the Secured Parties (as defined in the </w:t>
      </w:r>
      <w:r>
        <w:rPr>
          <w:strike/>
        </w:rPr>
        <w:t>Timberwolf</w:t>
      </w:r>
      <w:r>
        <w:rPr/>
        <w:t xml:space="preserve"> </w:t>
      </w:r>
      <w:r>
        <w:rPr>
          <w:b/>
          <w:u w:val="double"/>
        </w:rPr>
        <w:t>Bobcat</w:t>
      </w:r>
      <w:r>
        <w:rPr/>
        <w:t xml:space="preserve"> Security Agreement) have provided value for such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(i)</w:t>
        <w:tab/>
        <w:t xml:space="preserve">In rendering the opinion set forth in paragraph 9, we have assumed that the chief executive office and principal place of business of </w:t>
      </w:r>
      <w:r>
        <w:rPr>
          <w:strike/>
        </w:rPr>
        <w:t>Timberwolf</w:t>
      </w:r>
      <w:r>
        <w:rPr/>
        <w:t xml:space="preserve"> </w:t>
      </w:r>
      <w:r>
        <w:rPr>
          <w:b/>
          <w:u w:val="double"/>
        </w:rPr>
        <w:t>Bobcat</w:t>
      </w:r>
      <w:r>
        <w:rPr/>
        <w:t xml:space="preserve"> is located in the State of Delaware.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Our opinions in paragraphs 8 through 10, as to the security interest therein described, are subject to the effect of Section 552 of the Federal Bankruptcy Code, which limits the extent to which property acquired by a debtor after the commencement of a case under the Federal Bankruptcy Code may be subject to any security interest resulting from any security agreement entered into by the debtor before the commencement of the case.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(k)</w:t>
        <w:tab/>
        <w:t>In rendering the opinions set forth in paragraph 10 and (with respect to the Securities Accounts and Security Entitlements carried therein) paragraphs 8 and 9, we call to your attention that Security Entitlements and rights of entitlement holders are governed by Part 5 of Article 8 of the New York UCC, and such opinions are subject to such Part 5.  In rendering such opinions, we express no opinion as to any specific financial asset in any Securities Account.  In addition, with respect to Security Entitlements in Permitted Investments described in clause (i) of the definition of Permitted Investments, our opinion does not apply to the extent that Article 8 of the New York UCC is preempted by applicable federal laws or regulations; provided, however, in our opinion, Article 8 of the New York UCC would not be preempted in a manner that would alter the opinions herein expressed with respect to securities entitlements covered by existing Federal Book-Entry Regulations.</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 xml:space="preserve">In connection with the opinions expressed in paragraphs 8 through 10, we have assumed that </w:t>
      </w:r>
      <w:r>
        <w:rPr>
          <w:strike/>
        </w:rPr>
        <w:t>Timberwolf</w:t>
      </w:r>
      <w:r>
        <w:rPr/>
        <w:t xml:space="preserve"> </w:t>
      </w:r>
      <w:r>
        <w:rPr>
          <w:b/>
          <w:u w:val="double"/>
        </w:rPr>
        <w:t>Bobcat</w:t>
      </w:r>
      <w:r>
        <w:rPr/>
        <w:t xml:space="preserve"> has rights in the properties in which it is purporting to grant a security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(m)</w:t>
        <w:tab/>
        <w:t xml:space="preserve">With respect to our opinion in paragraph 9, we call to your attention that the perfection of the above security interest resulting from the filing of the Financing Statement will be terminated (i) as to any Collateral acquired by </w:t>
      </w:r>
      <w:r>
        <w:rPr>
          <w:strike/>
        </w:rPr>
        <w:t>Timberwolf</w:t>
      </w:r>
      <w:r>
        <w:rPr/>
        <w:t xml:space="preserve"> </w:t>
      </w:r>
      <w:r>
        <w:rPr>
          <w:b/>
          <w:u w:val="double"/>
        </w:rPr>
        <w:t>Bobcat</w:t>
      </w:r>
      <w:r>
        <w:rPr/>
        <w:t xml:space="preserve"> more than four months after </w:t>
      </w:r>
      <w:r>
        <w:rPr>
          <w:strike/>
        </w:rPr>
        <w:t>Timberwolf</w:t>
      </w:r>
      <w:r>
        <w:rPr/>
        <w:t xml:space="preserve"> </w:t>
      </w:r>
      <w:r>
        <w:rPr>
          <w:b/>
          <w:u w:val="double"/>
        </w:rPr>
        <w:t>Bobcat</w:t>
      </w:r>
      <w:r>
        <w:rPr/>
        <w:t xml:space="preserve"> so changes its name, identity or legal structure as to make the Financing Statement seriously misleading, unless a new appropriate financing statement indicating the new name, identity or legal structure of </w:t>
      </w:r>
      <w:r>
        <w:rPr>
          <w:strike/>
        </w:rPr>
        <w:t>Timberwolf</w:t>
      </w:r>
      <w:r>
        <w:rPr/>
        <w:t xml:space="preserve"> </w:t>
      </w:r>
      <w:r>
        <w:rPr>
          <w:b/>
          <w:u w:val="double"/>
        </w:rPr>
        <w:t>Bobcat</w:t>
      </w:r>
      <w:r>
        <w:rPr/>
        <w:t xml:space="preserve">, is properly filed before the expiration of such four months and (ii) as to any Collateral, four months after </w:t>
      </w:r>
      <w:r>
        <w:rPr>
          <w:strike/>
        </w:rPr>
        <w:t>Timberwolf</w:t>
      </w:r>
      <w:r>
        <w:rPr/>
        <w:t xml:space="preserve"> </w:t>
      </w:r>
      <w:r>
        <w:rPr>
          <w:b/>
          <w:u w:val="double"/>
        </w:rPr>
        <w:t>Bobcat</w:t>
      </w:r>
      <w:r>
        <w:rPr/>
        <w:t xml:space="preserve"> changes its chief executive office to a location outside of Delaware (or, if earlier, when perfection under the laws of the State of Delaware would have ceased as set forth in subparagraph (c) of paragraph 9) unless such security interests are perfected in such new jurisdiction before that termination.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w:t>
        <w:tab/>
        <w:t xml:space="preserve">With respect to our opinions in paragraphs 8 through 10, we note that (i) Section 9-103 of the New York UCC provides that perfection and the effect of perfection or non-perfection of a security interest in (A) collateral consisting of general intangibles and investment property (including securities accounts and security entitlements) in which a security interest is perfected by filing is governed by the law of the jurisdiction in which the debtor is located (which in the case of </w:t>
      </w:r>
      <w:r>
        <w:rPr>
          <w:strike/>
        </w:rPr>
        <w:t>Timberwolf</w:t>
      </w:r>
      <w:r>
        <w:rPr/>
        <w:t xml:space="preserve"> </w:t>
      </w:r>
      <w:r>
        <w:rPr>
          <w:b/>
          <w:u w:val="double"/>
        </w:rPr>
        <w:t>Bobcat</w:t>
      </w:r>
      <w:r>
        <w:rPr/>
        <w:t xml:space="preserve"> we understand is the State of Delaware), and (B) a security entitlement or securities account (other than perfection by filing and automatic perfection of security interests granted by a broker or securities intermediary) is governed by the law of the securities intermediary's jurisdiction, and (ii) Section 8-110(e)(1) of the New York UCC provides that if an agreement between the securities intermediary and its entitlement holder specifies that it is governed by the law of a particular jurisdiction, that jurisdiction is the securities intermediary's jurisdiction (which, pursuant to the </w:t>
      </w:r>
      <w:r>
        <w:rPr>
          <w:strike/>
        </w:rPr>
        <w:t>Timberwolf</w:t>
      </w:r>
      <w:r>
        <w:rPr/>
        <w:t xml:space="preserve"> </w:t>
      </w:r>
      <w:r>
        <w:rPr>
          <w:b/>
          <w:u w:val="double"/>
        </w:rPr>
        <w:t>Bobcat</w:t>
      </w:r>
      <w:r>
        <w:rPr/>
        <w:t xml:space="preserve"> Security Agreement, will be the State of New York with respect to the Securities Intermediary maintaining the Securities Accounts pursuant to the </w:t>
      </w:r>
      <w:r>
        <w:rPr>
          <w:strike/>
        </w:rPr>
        <w:t>Timberwolf</w:t>
      </w:r>
      <w:r>
        <w:rPr/>
        <w:t xml:space="preserve"> </w:t>
      </w:r>
      <w:r>
        <w:rPr>
          <w:b/>
          <w:u w:val="double"/>
        </w:rPr>
        <w:t>Bobcat</w:t>
      </w:r>
      <w:r>
        <w:rPr/>
        <w:t xml:space="preserv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(o)</w:t>
        <w:tab/>
        <w:t>With respect to our opinions in paragraphs 8 through 10 as they relate to proceeds, creation and continuation of perfection of the Collateral Agent's security interests therein are limited to the extent set forth in Section 9-306 of the New York UCC or Section 9-306 of the Delaware UCC,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w:t>
        <w:tab/>
        <w:t>This opinion is limited in all respects to the laws of the State of New York, the Delaware Limited Liability Company Act, the Delaware UCC and the federal laws of the United States of America, and we do not express any opinion as to the laws of any 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(q)</w:t>
        <w:tab/>
        <w:t>The opinions expressed herein are as of the date hereof only, and we assume no obligation to update or supplement such opinions to reflect any fact or circumstance that may hereafter come to our attention or any changes in law that may hereafter occur or become effective.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opinion letter has been furnished at your request and is solely for your benefit and the benefit of your respective successors and assigns in connection with the transactions contemplated by the Transaction Documents and may not be furnished to or relied upon by any other person or by you or any other person in any other context without our prior written consent.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VINSON &amp; ELKINS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COMPARISON OF HEADERS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LJM 2 Co-Investment, 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LJM 2-</w:t>
      </w:r>
      <w:r>
        <w:rPr>
          <w:strike/>
        </w:rPr>
        <w:t>Timberwolf</w:t>
      </w:r>
      <w:r>
        <w:rPr/>
        <w:t xml:space="preserve"> </w:t>
      </w:r>
      <w:r>
        <w:rPr>
          <w:b/>
          <w:u w:val="double"/>
        </w:rPr>
        <w:t>Bobcat</w:t>
      </w:r>
      <w:r>
        <w:rPr/>
        <w: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 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June 29,</w:t>
      </w:r>
      <w:r>
        <w:rPr/>
        <w:t xml:space="preserve"> </w:t>
      </w:r>
      <w:r>
        <w:rPr>
          <w:b/>
          <w:u w:val="double"/>
        </w:rPr>
        <w:t>September [__],</w:t>
      </w:r>
      <w:r>
        <w:rPr/>
        <w:t xml:space="preserve">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S</w:t>
      </w:r>
      <w:r>
        <w:rPr/>
        <w:t xml:space="preserve"> </w:t>
      </w:r>
      <w:r>
        <w:rPr>
          <w:b/>
          <w:u w:val="double"/>
        </w:rPr>
        <w:t>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Enron Corp.</w:t>
    </w:r>
  </w:p>
  <w:p>
    <w:pPr>
      <w:pStyle w:val="Header"/>
      <w:rPr>
        <w:sz w:val="22"/>
      </w:rPr>
    </w:pPr>
    <w:r>
      <w:rPr>
        <w:sz w:val="22"/>
      </w:rPr>
      <w:t>LJM 2 Co-Investment, L.P.</w:t>
    </w:r>
  </w:p>
  <w:p>
    <w:pPr>
      <w:pStyle w:val="Header"/>
      <w:rPr>
        <w:sz w:val="22"/>
      </w:rPr>
    </w:pPr>
    <w:r>
      <w:rPr>
        <w:sz w:val="22"/>
      </w:rPr>
      <w:t>LJM 2-Bobcat, LLC</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Header"/>
      <w:rPr/>
    </w:pPr>
    <w:r>
      <w:rPr>
        <w:sz w:val="22"/>
      </w:rPr>
      <w:t>September [__]</w:t>
    </w:r>
    <w:r>
      <w:rPr>
        <w:rStyle w:val="PageNumber"/>
        <w:sz w:val="22"/>
      </w:rPr>
      <w:t>, 2000</w:t>
    </w:r>
  </w:p>
  <w:p>
    <w:pPr>
      <w:pStyle w:val="Header"/>
      <w:rPr>
        <w:rStyle w:val="PageNumber"/>
        <w:sz w:val="22"/>
      </w:rPr>
    </w:pPr>
    <w:r>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2000-08-28T15:43:00Z</dcterms:created>
  <dc:creator>Cindy S. Richardson</dc:creator>
  <dc:description/>
  <dc:language>en-CA</dc:language>
  <cp:lastModifiedBy>Vinson &amp; Elkins L.L.P.</cp:lastModifiedBy>
  <cp:lastPrinted>2000-08-07T09:12:00Z</cp:lastPrinted>
  <dcterms:modified xsi:type="dcterms:W3CDTF">2000-08-28T15:43:00Z</dcterms:modified>
  <cp:revision>2</cp:revision>
  <dc:subject/>
  <dc:title>December 17, 1998</dc:title>
</cp:coreProperties>
</file>