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Recent Political and Economic Developments</w:t>
      </w:r>
    </w:p>
    <w:p>
      <w:pPr>
        <w:pStyle w:val="Header"/>
        <w:tabs>
          <w:tab w:val="clear" w:pos="4320"/>
          <w:tab w:val="clear" w:pos="8640"/>
        </w:tabs>
        <w:rPr>
          <w:sz w:val="28"/>
        </w:rPr>
      </w:pPr>
      <w:r>
        <w:rPr>
          <w:sz w:val="28"/>
        </w:rPr>
      </w:r>
    </w:p>
    <w:p>
      <w:pPr>
        <w:pStyle w:val="Normal"/>
        <w:rPr/>
      </w:pPr>
      <w:r>
        <w:rPr/>
        <w:t xml:space="preserve">Since the Turkish government decided to abandon the lira crawling peg system on 22 February 2001, the lira has depreciated 44.5 percent on a nominal basis (closing at TRL1251050 per U.S. dollar on 19 April, down sharply from TRL694000 on 21 February – </w:t>
      </w:r>
      <w:r>
        <w:rPr>
          <w:i/>
          <w:iCs/>
        </w:rPr>
        <w:t>refer to Chart 1 below</w:t>
      </w:r>
      <w:r>
        <w:rPr/>
        <w:t xml:space="preserve">).   In response to the financial crisis, the Turkish government and the IMF have been working toward structuring a new economic revitalization program to address the economy’s fiscal and monetary imbalances (budget and privatization are key concerns) and the weak banking sector.   A series of measures announced within the past week to cut expenditures, raise revenues and reform the banking sector are aimed at securing additional external funding from official lenders, such as the IMF, and other foreign creditors, such as G-7 countries or private lenders.  Thus far, some progress has been made on the legislative front, but important announcements regarding external financing, inflation targeting and the exchange rate regime, which effect Enron’s investment interests, are still absent from official government statements about the economic program.  </w:t>
      </w:r>
    </w:p>
    <w:p>
      <w:pPr>
        <w:pStyle w:val="Normal"/>
        <w:rPr/>
      </w:pPr>
      <w:r>
        <w:rPr/>
      </w:r>
    </w:p>
    <w:p>
      <w:pPr>
        <w:pStyle w:val="Normal"/>
        <w:numPr>
          <w:ilvl w:val="0"/>
          <w:numId w:val="3"/>
        </w:numPr>
        <w:rPr/>
      </w:pPr>
      <w:r>
        <w:rPr>
          <w:b/>
          <w:bCs/>
          <w:u w:val="single"/>
        </w:rPr>
        <w:t>Legislation</w:t>
      </w:r>
      <w:r>
        <w:rPr/>
        <w:t>: Economy Minister Kemal Dervis has proposed passage of 15 new laws through Parliament in his “Transition to a Strong Economy” program.  Laws cover a broad range of areas, including legislation on market liberalization, the banking sector and central bank independence (</w:t>
      </w:r>
      <w:r>
        <w:rPr>
          <w:i/>
          <w:iCs/>
        </w:rPr>
        <w:t>refer to Appendix 1 for a list of the 15 emergency measures</w:t>
      </w:r>
      <w:r>
        <w:rPr/>
        <w:t xml:space="preserve">). The central bank law, in particular, gives the bank control over printing money (which could raise inflationary pressures) and setting interest rates.  The Turkish armed forces also announced the postponement of 32 modernization projects costing $19.5bn in an effort to trim military spending. </w:t>
      </w:r>
    </w:p>
    <w:p>
      <w:pPr>
        <w:pStyle w:val="Header"/>
        <w:tabs>
          <w:tab w:val="clear" w:pos="4320"/>
          <w:tab w:val="clear" w:pos="8640"/>
        </w:tabs>
        <w:rPr/>
      </w:pPr>
      <w:r>
        <w:rPr/>
      </w:r>
    </w:p>
    <w:p>
      <w:pPr>
        <w:pStyle w:val="Normal"/>
        <w:numPr>
          <w:ilvl w:val="0"/>
          <w:numId w:val="3"/>
        </w:numPr>
        <w:rPr/>
      </w:pPr>
      <w:r>
        <w:rPr>
          <w:b/>
          <w:bCs/>
          <w:u w:val="single"/>
        </w:rPr>
        <w:t>External Credit</w:t>
      </w:r>
      <w:r>
        <w:rPr/>
        <w:t xml:space="preserve">: External financing sources (and commitment amounts) are not yet clear.  Turkey currently has a US$11.4bn stand-by credit in place with the IMF, comprised of $3.8bn available under the stand-by agreement dated 12/99 (as part of the disinflation program) and an additional $7.6bn of resources made available under the Supplemental Reserve Facility (SRF) in December 2000. Several information sources report that Turkey requires an additional $10bn-$12bn in commitments this year. </w:t>
      </w:r>
    </w:p>
    <w:p>
      <w:pPr>
        <w:pStyle w:val="Header"/>
        <w:tabs>
          <w:tab w:val="clear" w:pos="4320"/>
          <w:tab w:val="clear" w:pos="8640"/>
        </w:tabs>
        <w:rPr/>
      </w:pPr>
      <w:r>
        <w:rPr/>
      </w:r>
    </w:p>
    <w:p>
      <w:pPr>
        <w:pStyle w:val="Normal"/>
        <w:numPr>
          <w:ilvl w:val="0"/>
          <w:numId w:val="3"/>
        </w:numPr>
        <w:rPr/>
      </w:pPr>
      <w:r>
        <w:rPr>
          <w:b/>
          <w:bCs/>
          <w:u w:val="single"/>
        </w:rPr>
        <w:t>Monetary Policy and Currency Regime</w:t>
      </w:r>
      <w:r>
        <w:rPr/>
        <w:t xml:space="preserve">: A new monetary/exchange rate policy is not yet clear.  The government has not announced any new inflation target in 2001/02, nor is it clear what kind of exchange rate regime will be put into place to address obvious inflationary pressures, spur domestic liquidity and boost economic growth. The extreme volatility of the lira against the U.S. dollar is a major impediment to activity not just in the financial markets but also in the real economy. </w:t>
      </w:r>
    </w:p>
    <w:p>
      <w:pPr>
        <w:pStyle w:val="Header"/>
        <w:tabs>
          <w:tab w:val="clear" w:pos="4320"/>
          <w:tab w:val="clear" w:pos="8640"/>
        </w:tabs>
        <w:rPr/>
      </w:pPr>
      <w:r>
        <w:rPr/>
        <w:t xml:space="preserve"> </w:t>
      </w:r>
    </w:p>
    <w:p>
      <w:pPr>
        <w:pStyle w:val="Normal"/>
        <w:numPr>
          <w:ilvl w:val="0"/>
          <w:numId w:val="3"/>
        </w:numPr>
        <w:rPr/>
      </w:pPr>
      <w:r>
        <w:rPr>
          <w:b/>
          <w:u w:val="single"/>
        </w:rPr>
        <w:t>Sovereign Credit Rating Downgrade</w:t>
      </w:r>
      <w:r>
        <w:rPr/>
        <w:t xml:space="preserve">: On 16 April 2001, after the economic program announcement, S&amp;P downgraded Turkey’s long-term sovereign credit ratings to “B-“ from “B” on concerns about the Turkish government’s ability to secure budget financing on terms adequate to stabilize public debt stock, inflation and the lira.  This was the second cut in Turkey’s sovereign credit rating by S&amp;P in two months and takes the country to 6 notches below investment grade.  Moody’s issued a similar downgrade on 7 April to “B3”. </w:t>
      </w:r>
    </w:p>
    <w:p>
      <w:pPr>
        <w:pStyle w:val="Normal"/>
        <w:rPr/>
      </w:pPr>
      <w:r>
        <w:rPr/>
      </w:r>
    </w:p>
    <w:p>
      <w:pPr>
        <w:pStyle w:val="Normal"/>
        <w:rPr/>
      </w:pPr>
      <w:r>
        <w:rPr/>
        <w:t>The crisis has also forced the government to raise fuel prices.  Since the end of February 2001, gasoline prices have been raised by a total of 33.6 percent,</w:t>
      </w:r>
      <w:r>
        <w:rPr>
          <w:rStyle w:val="FootnoteCharacters"/>
          <w:rStyle w:val="FootnoteReference"/>
        </w:rPr>
        <w:footnoteReference w:id="2"/>
      </w:r>
      <w:r>
        <w:rPr/>
        <w:t xml:space="preserve"> but these price increases do not match the lira’s loss of value.   </w:t>
      </w:r>
    </w:p>
    <w:p>
      <w:pPr>
        <w:pStyle w:val="Normal"/>
        <w:rPr/>
      </w:pPr>
      <w:r>
        <mc:AlternateContent>
          <mc:Choice Requires="wps">
            <w:drawing>
              <wp:anchor behindDoc="0" distT="0" distB="0" distL="114935" distR="114935" simplePos="0" locked="0" layoutInCell="1" allowOverlap="1" relativeHeight="5">
                <wp:simplePos x="0" y="0"/>
                <wp:positionH relativeFrom="column">
                  <wp:posOffset>4114800</wp:posOffset>
                </wp:positionH>
                <wp:positionV relativeFrom="paragraph">
                  <wp:posOffset>358140</wp:posOffset>
                </wp:positionV>
                <wp:extent cx="228600" cy="342900"/>
                <wp:effectExtent l="0" t="3175" r="4445" b="0"/>
                <wp:wrapNone/>
                <wp:docPr id="1" name=""/>
                <a:graphic xmlns:a="http://schemas.openxmlformats.org/drawingml/2006/main">
                  <a:graphicData uri="http://schemas.microsoft.com/office/word/2010/wordprocessingShape">
                    <wps:wsp>
                      <wps:cNvSpPr/>
                      <wps:spPr>
                        <a:xfrm flipH="1">
                          <a:off x="0" y="0"/>
                          <a:ext cx="2286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28.2pt" to="341.95pt,55.15pt" stroked="t" o:allowincell="f" style="position:absolute;flip:x">
                <v:stroke color="black" weight="9360" endarrow="block" endarrowwidth="medium" endarrowlength="medium" joinstyle="miter" endcap="flat"/>
                <v:fill o:detectmouseclick="t" on="false"/>
                <w10:wrap type="none"/>
              </v:line>
            </w:pict>
          </mc:Fallback>
        </mc:AlternateContent>
      </w:r>
      <w:r>
        <w:rPr/>
        <w:tab/>
        <w:tab/>
        <w:tab/>
      </w:r>
      <w:bookmarkStart w:id="0" w:name="_1049196296"/>
      <w:bookmarkStart w:id="1" w:name="_1049196158"/>
      <w:bookmarkStart w:id="2" w:name="_1049195745"/>
      <w:bookmarkStart w:id="3" w:name="_1049195706"/>
      <w:bookmarkEnd w:id="0"/>
      <w:bookmarkEnd w:id="1"/>
      <w:bookmarkEnd w:id="2"/>
      <w:bookmarkEnd w:id="3"/>
      <w:r>
        <w:rPr/>
        <w:object w:dxaOrig="5121" w:dyaOrig="307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24.3pt;height:154.45pt" filled="f" o:ole="">
            <v:imagedata r:id="rId3" o:title=""/>
          </v:shape>
          <o:OLEObject Type="Embed" ProgID="Excel.Sheet.12" ShapeID="ole_rId2" DrawAspect="Content" ObjectID="_2132146920" r:id="rId2"/>
        </w:object>
      </w:r>
      <w:r>
        <mc:AlternateContent>
          <mc:Choice Requires="wps">
            <w:drawing>
              <wp:anchor behindDoc="0" distT="0" distB="0" distL="114935" distR="114935" simplePos="0" locked="0" layoutInCell="1" allowOverlap="1" relativeHeight="4">
                <wp:simplePos x="0" y="0"/>
                <wp:positionH relativeFrom="column">
                  <wp:posOffset>4333875</wp:posOffset>
                </wp:positionH>
                <wp:positionV relativeFrom="paragraph">
                  <wp:posOffset>348615</wp:posOffset>
                </wp:positionV>
                <wp:extent cx="1390650" cy="361950"/>
                <wp:effectExtent l="0" t="0" r="0" b="0"/>
                <wp:wrapNone/>
                <wp:docPr id="2" name="Frame1"/>
                <a:graphic xmlns:a="http://schemas.openxmlformats.org/drawingml/2006/main">
                  <a:graphicData uri="http://schemas.microsoft.com/office/word/2010/wordprocessingShape">
                    <wps:wsp>
                      <wps:cNvSpPr txBox="1"/>
                      <wps:spPr>
                        <a:xfrm>
                          <a:off x="0" y="0"/>
                          <a:ext cx="1390650" cy="361950"/>
                        </a:xfrm>
                        <a:prstGeom prst="rect"/>
                        <a:solidFill>
                          <a:srgbClr val="FFFFFF"/>
                        </a:solidFill>
                        <a:ln w="9525">
                          <a:solidFill>
                            <a:srgbClr val="000000"/>
                          </a:solidFill>
                        </a:ln>
                      </wps:spPr>
                      <wps:txbx>
                        <w:txbxContent>
                          <w:p>
                            <w:pPr>
                              <w:pStyle w:val="BodyText"/>
                              <w:rPr/>
                            </w:pPr>
                            <w:r>
                              <w:rPr/>
                              <w:t>TRL/US$ Close on 19 Apr: TRL1,251,050</w:t>
                            </w:r>
                          </w:p>
                        </w:txbxContent>
                      </wps:txbx>
                      <wps:bodyPr anchor="t" lIns="91440" tIns="45720" rIns="91440" bIns="45720">
                        <a:noAutofit/>
                      </wps:bodyPr>
                    </wps:wsp>
                  </a:graphicData>
                </a:graphic>
              </wp:anchor>
            </w:drawing>
          </mc:Choice>
          <mc:Fallback>
            <w:pict>
              <v:rect fillcolor="#FFFFFF" strokecolor="#000000" strokeweight="0pt" style="position:absolute;rotation:-0;width:109.5pt;height:28.5pt;mso-wrap-distance-left:9.05pt;mso-wrap-distance-right:9.05pt;mso-wrap-distance-top:0pt;mso-wrap-distance-bottom:0pt;margin-top:27.45pt;mso-position-vertical-relative:text;margin-left:341.25pt;mso-position-horizontal-relative:text">
                <v:textbox>
                  <w:txbxContent>
                    <w:p>
                      <w:pPr>
                        <w:pStyle w:val="BodyText"/>
                        <w:rPr/>
                      </w:pPr>
                      <w:r>
                        <w:rPr/>
                        <w:t>TRL/US$ Close on 19 Apr: TRL1,251,050</w:t>
                      </w:r>
                    </w:p>
                  </w:txbxContent>
                </v:textbox>
                <w10:wrap type="none"/>
              </v:rect>
            </w:pict>
          </mc:Fallback>
        </mc:AlternateContent>
      </w:r>
    </w:p>
    <w:p>
      <w:pPr>
        <w:pStyle w:val="Heading1"/>
        <w:ind w:hanging="0" w:start="0"/>
        <w:rPr>
          <w:sz w:val="28"/>
        </w:rPr>
      </w:pPr>
      <w:r>
        <w:rPr>
          <w:sz w:val="28"/>
        </w:rPr>
        <w:t>Risks to Enron</w:t>
      </w:r>
    </w:p>
    <w:p>
      <w:pPr>
        <w:pStyle w:val="Normal"/>
        <w:rPr>
          <w:sz w:val="28"/>
        </w:rPr>
      </w:pPr>
      <w:r>
        <w:rPr>
          <w:sz w:val="28"/>
        </w:rPr>
      </w:r>
    </w:p>
    <w:p>
      <w:pPr>
        <w:pStyle w:val="Normal"/>
        <w:rPr/>
      </w:pPr>
      <w:r>
        <w:rPr/>
        <w:t>These recent economic and political developments raise a number of important questions with respect to Enron’s exposure to the Turkish energy sector:</w:t>
      </w:r>
    </w:p>
    <w:p>
      <w:pPr>
        <w:pStyle w:val="Normal"/>
        <w:rPr/>
      </w:pPr>
      <w:r>
        <w:rPr/>
      </w:r>
    </w:p>
    <w:p>
      <w:pPr>
        <w:pStyle w:val="Normal"/>
        <w:numPr>
          <w:ilvl w:val="0"/>
          <w:numId w:val="2"/>
        </w:numPr>
        <w:rPr/>
      </w:pPr>
      <w:r>
        <w:rPr>
          <w:b/>
          <w:bCs/>
          <w:u w:val="single"/>
        </w:rPr>
        <w:t>Regulatory Risk</w:t>
      </w:r>
      <w:r>
        <w:rPr/>
        <w:t>:  It is possible that a new law will include provisions that preclude the Turkish government from raising administered prices, such as petrol prices.  Which legislative changes required as part of IMF conditionality (from any of the 15 bills being proposed for passage by the Parliament and approval by the president) might restrict the government’s ability to raise the gasoline tariff paid to OPIT?  What limitations will be imposed (if any) that might constrain the government’s ability to adjust the tariff upward in line with inflation/depreciation?  Recent public protests to sharply rising prices in Turkey may limit the government’s ability to raise power tariffs.  However, demands for fiscal discipline from creditors may force the Turkish government to pass through higher energy costs imported from abroad to consumers.  To OPET’s benefit, Turkey may make a tradeoff between public pressure over inflation and the need to reach fiscal targets set by the IMF and other official creditors.</w:t>
      </w:r>
    </w:p>
    <w:p>
      <w:pPr>
        <w:pStyle w:val="Header"/>
        <w:tabs>
          <w:tab w:val="clear" w:pos="4320"/>
          <w:tab w:val="clear" w:pos="8640"/>
        </w:tabs>
        <w:rPr/>
      </w:pPr>
      <w:r>
        <w:rPr/>
      </w:r>
    </w:p>
    <w:p>
      <w:pPr>
        <w:pStyle w:val="Normal"/>
        <w:numPr>
          <w:ilvl w:val="0"/>
          <w:numId w:val="4"/>
        </w:numPr>
        <w:rPr/>
      </w:pPr>
      <w:r>
        <w:rPr>
          <w:b/>
          <w:bCs/>
          <w:u w:val="single"/>
        </w:rPr>
        <w:t>Sovereign Credit Risk</w:t>
      </w:r>
      <w:r>
        <w:rPr/>
        <w:t xml:space="preserve">: </w:t>
      </w:r>
      <w:r>
        <w:rPr>
          <w:bCs/>
        </w:rPr>
        <w:t xml:space="preserve">S&amp;P is concerned that the country will be unable to raise the necessary funds to meet its debt repayment obligations.  The rating agency indicates that the Turkish government will be hard pressed to articulate a financial plan and monetary program that can reverse the nation’s debt dynamics without exacerbating growing political stress. </w:t>
      </w:r>
    </w:p>
    <w:p>
      <w:pPr>
        <w:pStyle w:val="Header"/>
        <w:tabs>
          <w:tab w:val="clear" w:pos="4320"/>
          <w:tab w:val="clear" w:pos="8640"/>
        </w:tabs>
        <w:rPr/>
      </w:pPr>
      <w:r>
        <w:rPr/>
      </w:r>
    </w:p>
    <w:p>
      <w:pPr>
        <w:pStyle w:val="Normal"/>
        <w:numPr>
          <w:ilvl w:val="0"/>
          <w:numId w:val="2"/>
        </w:numPr>
        <w:rPr/>
      </w:pPr>
      <w:r>
        <w:rPr>
          <w:b/>
          <w:bCs/>
          <w:u w:val="single"/>
        </w:rPr>
        <w:t>Political and Implementation Risk</w:t>
      </w:r>
      <w:r>
        <w:rPr/>
        <w:t xml:space="preserve">: Winning political support for Economy Minster Dervis’ reforms is an essential first step to achieving currency stability.  Implementation of the new economic reforms is paramount to Turkey’s success in restoring investor confidence, reducing investor’s risk premium, lowering interest rates, controlling inflation and managing a spiraling public sector debt.  Thus, implementation risk is heightened by the current situation.  Arguments this week between Agriculture Minister Gokalp and Dervis over agricultural subsidies reveals the delicate political balance.  The willingness of Turkey’s 3-party coalition government to agree to the legislative stipulations attached to any new IMF financing package is subject to uncertainty.  </w:t>
      </w:r>
    </w:p>
    <w:p>
      <w:pPr>
        <w:pStyle w:val="Header"/>
        <w:tabs>
          <w:tab w:val="clear" w:pos="4320"/>
          <w:tab w:val="clear" w:pos="8640"/>
        </w:tabs>
        <w:rPr/>
      </w:pPr>
      <w:r>
        <w:rPr/>
      </w:r>
    </w:p>
    <w:p>
      <w:pPr>
        <w:pStyle w:val="Normal"/>
        <w:numPr>
          <w:ilvl w:val="0"/>
          <w:numId w:val="2"/>
        </w:numPr>
        <w:rPr/>
      </w:pPr>
      <w:r>
        <w:rPr>
          <w:b/>
          <w:bCs/>
          <w:u w:val="single"/>
        </w:rPr>
        <w:t>Currency Risk</w:t>
      </w:r>
      <w:r>
        <w:rPr/>
        <w:t xml:space="preserve">: The cost-revenue mismatch (cost of petrol in US dollars while government administers energy prices in lira) increases the vulnerability of OPET’s revenue stream to further lira weakness. As S&amp;P reported this week, if the Turkish government is unable to secure additional financing from official creditors in the next few months (in addition to IMF tranches from the stand-by agreement), “it will be forced to rely mainly upon financing from the domestic banking system.  The banks, in turn, may then require further central bank liquidity support, which could only come at the expense of international reserves and further depreciation of the Turkish lira.”  Inflationary pressures from the sharp devaluation are worrisome. </w:t>
      </w:r>
    </w:p>
    <w:p>
      <w:pPr>
        <w:pStyle w:val="Normal"/>
        <w:rPr/>
      </w:pPr>
      <w:r>
        <w:rPr/>
      </w:r>
    </w:p>
    <w:p>
      <w:pPr>
        <w:pStyle w:val="Normal"/>
        <w:rPr/>
      </w:pPr>
      <w:r>
        <w:rPr/>
      </w:r>
    </w:p>
    <w:p>
      <w:pPr>
        <w:pStyle w:val="Heading1"/>
        <w:ind w:hanging="0" w:start="0"/>
        <w:rPr>
          <w:sz w:val="28"/>
        </w:rPr>
      </w:pPr>
      <w:r>
        <w:rPr>
          <w:sz w:val="28"/>
        </w:rPr>
        <w:t>Near-Term Currency Outlook</w:t>
      </w:r>
    </w:p>
    <w:p>
      <w:pPr>
        <w:pStyle w:val="Normal"/>
        <w:rPr>
          <w:sz w:val="28"/>
        </w:rPr>
      </w:pPr>
      <w:r>
        <w:rPr>
          <w:sz w:val="28"/>
        </w:rPr>
      </w:r>
    </w:p>
    <w:p>
      <w:pPr>
        <w:pStyle w:val="BodyText2"/>
        <w:jc w:val="start"/>
        <w:rPr/>
      </w:pPr>
      <w:r>
        <w:rPr/>
        <w:t>The lira is subject to further weakening as a consequence of the political risk discussed above, as well as the lack of clarification on inflation targeting and the foreign exchange rate regime in response to country’s financial crisis.  Enron’s near-term forecast calls for further weakening (</w:t>
      </w:r>
      <w:r>
        <w:rPr>
          <w:i/>
          <w:iCs/>
        </w:rPr>
        <w:t>see Appendix 2 for market consensus on inflation and lira</w:t>
      </w:r>
      <w:r>
        <w:rPr/>
        <w:t xml:space="preserve">).  Any forecast of the lira exchange rate within a reasonable range is subject to change until such time as the size of the external rescue package is known and the government announces the expected foreign exchange rate regime.  The FX market has probably already priced in the uncertainty surrounding the new reform package, but is subject to further volatility until further clarifications are made.  Thus, a range of TL1,200,000 to TL1,370,000 assuming a 1.0 percent depreciation rate month-over-month until December 2001 is a preliminary forecast, subject to change upon further government announcements related to the FX regime and the external financing package.   </w:t>
      </w:r>
      <w:r>
        <w:br w:type="page"/>
      </w:r>
    </w:p>
    <w:p>
      <w:pPr>
        <w:pStyle w:val="BodyText2"/>
        <w:jc w:val="start"/>
        <w:rPr/>
      </w:pPr>
      <w:r>
        <w:rPr/>
        <w:t xml:space="preserve"> </w:t>
      </w:r>
    </w:p>
    <w:p>
      <w:pPr>
        <w:pStyle w:val="Normal"/>
        <w:jc w:val="center"/>
        <w:rPr>
          <w:b/>
          <w:bCs/>
          <w:sz w:val="32"/>
        </w:rPr>
      </w:pPr>
      <w:r>
        <w:rPr>
          <w:b/>
          <w:bCs/>
          <w:sz w:val="32"/>
        </w:rPr>
        <w:t>Appendix 1</w:t>
      </w:r>
    </w:p>
    <w:p>
      <w:pPr>
        <w:pStyle w:val="Normal"/>
        <w:jc w:val="center"/>
        <w:rPr>
          <w:b/>
          <w:bCs/>
          <w:sz w:val="32"/>
        </w:rPr>
      </w:pPr>
      <w:r>
        <w:rPr>
          <w:b/>
          <w:bCs/>
          <w:sz w:val="32"/>
        </w:rPr>
      </w:r>
    </w:p>
    <w:p>
      <w:pPr>
        <w:pStyle w:val="Heading2"/>
        <w:ind w:hanging="0" w:start="0"/>
        <w:rPr>
          <w:u w:val="single"/>
        </w:rPr>
      </w:pPr>
      <w:r>
        <w:rPr>
          <w:u w:val="single"/>
        </w:rPr>
        <w:t>Summary of Turkish Legislative Actions (April 2001)</w:t>
      </w:r>
    </w:p>
    <w:p>
      <w:pPr>
        <w:pStyle w:val="Normal"/>
        <w:rPr>
          <w:u w:val="single"/>
        </w:rPr>
      </w:pPr>
      <w:r>
        <w:rPr>
          <w:u w:val="single"/>
        </w:rPr>
      </w:r>
    </w:p>
    <w:p>
      <w:pPr>
        <w:pStyle w:val="Normal"/>
        <w:rPr/>
      </w:pPr>
      <w:r>
        <w:rPr/>
      </w:r>
    </w:p>
    <w:tbl>
      <w:tblPr>
        <w:tblpPr w:vertAnchor="page" w:horzAnchor="margin" w:tblpXSpec="center" w:leftFromText="180" w:rightFromText="180" w:tblpY="3061"/>
        <w:tblW w:w="8295" w:type="dxa"/>
        <w:jc w:val="start"/>
        <w:tblInd w:w="15" w:type="dxa"/>
        <w:tblLayout w:type="fixed"/>
        <w:tblCellMar>
          <w:top w:w="15" w:type="dxa"/>
          <w:start w:w="15" w:type="dxa"/>
          <w:bottom w:w="0" w:type="dxa"/>
          <w:end w:w="15" w:type="dxa"/>
        </w:tblCellMar>
      </w:tblPr>
      <w:tblGrid>
        <w:gridCol w:w="280"/>
        <w:gridCol w:w="3510"/>
        <w:gridCol w:w="994"/>
        <w:gridCol w:w="1148"/>
        <w:gridCol w:w="1148"/>
        <w:gridCol w:w="1215"/>
      </w:tblGrid>
      <w:tr>
        <w:trPr>
          <w:trHeight w:val="795" w:hRule="atLeast"/>
        </w:trPr>
        <w:tc>
          <w:tcPr>
            <w:tcW w:w="280" w:type="dxa"/>
            <w:tcBorders>
              <w:top w:val="single" w:sz="8" w:space="0" w:color="000000"/>
              <w:start w:val="single" w:sz="8" w:space="0" w:color="000000"/>
              <w:bottom w:val="single" w:sz="8" w:space="0" w:color="000000"/>
              <w:end w:val="single" w:sz="4" w:space="0" w:color="000000"/>
            </w:tcBorders>
            <w:shd w:fill="FFFF99"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3510" w:type="dxa"/>
            <w:tcBorders>
              <w:top w:val="single" w:sz="8" w:space="0" w:color="000000"/>
              <w:bottom w:val="single" w:sz="8" w:space="0" w:color="000000"/>
              <w:end w:val="single" w:sz="4" w:space="0" w:color="000000"/>
            </w:tcBorders>
            <w:shd w:fill="FFFF99" w:val="clear"/>
            <w:vAlign w:val="bottom"/>
          </w:tcPr>
          <w:p>
            <w:pPr>
              <w:pStyle w:val="Heading3"/>
              <w:ind w:hanging="0" w:start="0"/>
              <w:rPr>
                <w:rFonts w:eastAsia="Arial Unicode MS"/>
              </w:rPr>
            </w:pPr>
            <w:r>
              <w:rPr/>
              <w:t>Laws</w:t>
            </w:r>
          </w:p>
        </w:tc>
        <w:tc>
          <w:tcPr>
            <w:tcW w:w="994" w:type="dxa"/>
            <w:tcBorders>
              <w:top w:val="single" w:sz="8" w:space="0" w:color="000000"/>
              <w:bottom w:val="single" w:sz="8" w:space="0" w:color="000000"/>
              <w:end w:val="single" w:sz="4" w:space="0" w:color="000000"/>
            </w:tcBorders>
            <w:shd w:fill="FFFF99"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President Approval</w:t>
            </w:r>
          </w:p>
        </w:tc>
        <w:tc>
          <w:tcPr>
            <w:tcW w:w="1148" w:type="dxa"/>
            <w:tcBorders>
              <w:top w:val="single" w:sz="8" w:space="0" w:color="000000"/>
              <w:bottom w:val="single" w:sz="8" w:space="0" w:color="000000"/>
              <w:end w:val="single" w:sz="4" w:space="0" w:color="000000"/>
            </w:tcBorders>
            <w:shd w:fill="FFFF99"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Full Parliament Approval</w:t>
            </w:r>
          </w:p>
        </w:tc>
        <w:tc>
          <w:tcPr>
            <w:tcW w:w="1148" w:type="dxa"/>
            <w:tcBorders>
              <w:top w:val="single" w:sz="8" w:space="0" w:color="000000"/>
              <w:bottom w:val="single" w:sz="8" w:space="0" w:color="000000"/>
              <w:end w:val="single" w:sz="4" w:space="0" w:color="000000"/>
            </w:tcBorders>
            <w:shd w:fill="FFFF99"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Semi-Parliament Approval</w:t>
            </w:r>
          </w:p>
        </w:tc>
        <w:tc>
          <w:tcPr>
            <w:tcW w:w="1215" w:type="dxa"/>
            <w:tcBorders>
              <w:top w:val="single" w:sz="8" w:space="0" w:color="000000"/>
              <w:bottom w:val="single" w:sz="8" w:space="0" w:color="000000"/>
              <w:end w:val="single" w:sz="8" w:space="0" w:color="000000"/>
            </w:tcBorders>
            <w:shd w:fill="FFFF99"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Pending Approval</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Revision of the Budget Bill</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Sugar Market Liberalisation Bill</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Economic &amp; Social Council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Natural Gas Market Liberalisation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xml:space="preserve">Central Bank Law </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Civil Aviation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Tobacco Market Liberalisation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8</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Banking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9</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Closing down 17 extra-budgetary funds</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Public Sector Tender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Public Sector Borrowing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Elimination of Duty Loss Legislation</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13</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Job Security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14</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Telecom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r>
      <w:tr>
        <w:trPr>
          <w:trHeight w:val="255" w:hRule="atLeast"/>
        </w:trPr>
        <w:tc>
          <w:tcPr>
            <w:tcW w:w="28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15</w:t>
            </w:r>
          </w:p>
        </w:tc>
        <w:tc>
          <w:tcPr>
            <w:tcW w:w="351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Public Procurement Law</w:t>
            </w:r>
          </w:p>
        </w:tc>
        <w:tc>
          <w:tcPr>
            <w:tcW w:w="994"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148"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c>
          <w:tcPr>
            <w:tcW w:w="1215"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x</w:t>
            </w:r>
          </w:p>
        </w:tc>
      </w:tr>
      <w:tr>
        <w:trPr>
          <w:trHeight w:val="255" w:hRule="atLeast"/>
        </w:trPr>
        <w:tc>
          <w:tcPr>
            <w:tcW w:w="28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3510" w:type="dxa"/>
            <w:tcBorders/>
            <w:vAlign w:val="bottom"/>
          </w:tcPr>
          <w:p>
            <w:pPr>
              <w:pStyle w:val="Normal"/>
              <w:rPr>
                <w:rFonts w:ascii="Arial" w:hAnsi="Arial" w:eastAsia="Arial Unicode MS" w:cs="Arial"/>
                <w:i/>
                <w:i/>
                <w:iCs/>
                <w:sz w:val="16"/>
                <w:szCs w:val="16"/>
              </w:rPr>
            </w:pPr>
            <w:r>
              <w:rPr>
                <w:rFonts w:cs="Arial" w:ascii="Arial" w:hAnsi="Arial"/>
                <w:i/>
                <w:iCs/>
                <w:sz w:val="16"/>
                <w:szCs w:val="16"/>
              </w:rPr>
              <w:t xml:space="preserve">Source: </w:t>
            </w:r>
            <w:r>
              <w:rPr>
                <w:rFonts w:cs="Arial" w:ascii="Arial" w:hAnsi="Arial"/>
                <w:sz w:val="16"/>
                <w:szCs w:val="16"/>
              </w:rPr>
              <w:t>JPMorgan, 19 April 2001</w:t>
            </w:r>
          </w:p>
        </w:tc>
        <w:tc>
          <w:tcPr>
            <w:tcW w:w="994" w:type="dxa"/>
            <w:tcBorders/>
            <w:vAlign w:val="bottom"/>
          </w:tcPr>
          <w:p>
            <w:pPr>
              <w:pStyle w:val="Normal"/>
              <w:snapToGrid w:val="false"/>
              <w:rPr>
                <w:rFonts w:ascii="Arial" w:hAnsi="Arial" w:eastAsia="Arial Unicode MS" w:cs="Arial"/>
                <w:i/>
                <w:i/>
                <w:iCs/>
                <w:sz w:val="20"/>
                <w:szCs w:val="20"/>
              </w:rPr>
            </w:pPr>
            <w:r>
              <w:rPr>
                <w:rFonts w:eastAsia="Arial Unicode MS" w:cs="Arial" w:ascii="Arial" w:hAnsi="Arial"/>
                <w:i/>
                <w:iCs/>
                <w:sz w:val="20"/>
                <w:szCs w:val="20"/>
              </w:rPr>
            </w:r>
          </w:p>
        </w:tc>
        <w:tc>
          <w:tcPr>
            <w:tcW w:w="114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48"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215"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bl>
    <w:p>
      <w:pPr>
        <w:pStyle w:val="Normal"/>
        <w:rPr/>
      </w:pPr>
      <w:r>
        <w:rPr/>
      </w:r>
      <w:r>
        <w:br w:type="page"/>
      </w:r>
    </w:p>
    <w:p>
      <w:pPr>
        <w:pStyle w:val="Heading4"/>
        <w:ind w:hanging="0" w:start="0"/>
        <w:rPr/>
      </w:pPr>
      <w:r>
        <w:rPr/>
        <w:t>Appendix 2</w:t>
      </w:r>
    </w:p>
    <w:p>
      <w:pPr>
        <w:pStyle w:val="Normal"/>
        <w:rPr/>
      </w:pPr>
      <w:r>
        <w:rPr/>
      </w:r>
    </w:p>
    <w:p>
      <w:pPr>
        <w:pStyle w:val="xl33"/>
        <w:spacing w:before="0" w:after="0"/>
        <w:rPr>
          <w:rFonts w:ascii="Times New Roman" w:hAnsi="Times New Roman" w:eastAsia="Times New Roman" w:cs="Times New Roman"/>
          <w:i/>
          <w:i/>
          <w:iCs/>
          <w:u w:val="single"/>
        </w:rPr>
      </w:pPr>
      <w:r>
        <w:rPr>
          <w:rFonts w:eastAsia="Times New Roman" w:cs="Times New Roman" w:ascii="Times New Roman" w:hAnsi="Times New Roman"/>
          <w:i/>
          <w:iCs/>
          <w:u w:val="single"/>
        </w:rPr>
        <w:t>Turkey Inflation &amp; TRL Forecasts</w:t>
      </w:r>
    </w:p>
    <w:p>
      <w:pPr>
        <w:pStyle w:val="xl33"/>
        <w:spacing w:before="0" w:after="0"/>
        <w:rPr>
          <w:rFonts w:ascii="Times New Roman" w:hAnsi="Times New Roman" w:eastAsia="Times New Roman" w:cs="Times New Roman"/>
          <w:i/>
          <w:i/>
          <w:iCs/>
          <w:sz w:val="20"/>
          <w:u w:val="single"/>
        </w:rPr>
      </w:pPr>
      <w:r>
        <w:rPr>
          <w:rFonts w:eastAsia="Times New Roman" w:cs="Times New Roman" w:ascii="Times New Roman" w:hAnsi="Times New Roman"/>
          <w:i/>
          <w:iCs/>
          <w:sz w:val="20"/>
          <w:u w:val="single"/>
        </w:rPr>
      </w:r>
    </w:p>
    <w:p>
      <w:pPr>
        <w:pStyle w:val="xl33"/>
        <w:spacing w:before="0" w:after="0"/>
        <w:rPr>
          <w:rFonts w:ascii="Times New Roman" w:hAnsi="Times New Roman" w:eastAsia="Times New Roman" w:cs="Times New Roman"/>
          <w:sz w:val="20"/>
        </w:rPr>
      </w:pPr>
      <w:r>
        <w:rPr>
          <w:rFonts w:eastAsia="Times New Roman" w:cs="Times New Roman" w:ascii="Times New Roman" w:hAnsi="Times New Roman"/>
          <w:sz w:val="20"/>
        </w:rPr>
        <w:t>Source: Major Investment Banks and Research Institutions</w:t>
      </w:r>
    </w:p>
    <w:p>
      <w:pPr>
        <w:pStyle w:val="xl33"/>
        <w:spacing w:before="0" w:after="0"/>
        <w:rPr>
          <w:rFonts w:ascii="Times New Roman" w:hAnsi="Times New Roman" w:eastAsia="Times New Roman" w:cs="Times New Roman"/>
          <w:sz w:val="20"/>
        </w:rPr>
      </w:pPr>
      <w:r>
        <w:rPr>
          <w:rFonts w:eastAsia="Times New Roman" w:cs="Times New Roman" w:ascii="Times New Roman" w:hAnsi="Times New Roman"/>
          <w:sz w:val="20"/>
        </w:rPr>
      </w:r>
    </w:p>
    <w:p>
      <w:pPr>
        <w:pStyle w:val="Normal"/>
        <w:jc w:val="center"/>
        <w:rPr>
          <w:rFonts w:ascii="Times New Roman" w:hAnsi="Times New Roman" w:eastAsia="Times New Roman" w:cs="Times New Roman"/>
        </w:rPr>
      </w:pPr>
      <w:r>
        <w:rPr>
          <w:rFonts w:eastAsia="Times New Roman" w:cs="Times New Roman"/>
        </w:rPr>
      </w:r>
    </w:p>
    <w:tbl>
      <w:tblPr>
        <w:tblW w:w="6600" w:type="dxa"/>
        <w:jc w:val="start"/>
        <w:tblInd w:w="1372" w:type="dxa"/>
        <w:tblLayout w:type="fixed"/>
        <w:tblCellMar>
          <w:top w:w="15" w:type="dxa"/>
          <w:start w:w="15" w:type="dxa"/>
          <w:bottom w:w="0" w:type="dxa"/>
          <w:end w:w="15" w:type="dxa"/>
        </w:tblCellMar>
      </w:tblPr>
      <w:tblGrid>
        <w:gridCol w:w="2749"/>
        <w:gridCol w:w="941"/>
        <w:gridCol w:w="970"/>
        <w:gridCol w:w="970"/>
        <w:gridCol w:w="970"/>
      </w:tblGrid>
      <w:tr>
        <w:trPr>
          <w:trHeight w:val="315" w:hRule="atLeast"/>
        </w:trPr>
        <w:tc>
          <w:tcPr>
            <w:tcW w:w="2749" w:type="dxa"/>
            <w:tcBorders/>
            <w:vAlign w:val="bottom"/>
          </w:tcPr>
          <w:p>
            <w:pPr>
              <w:pStyle w:val="Normal"/>
              <w:rPr>
                <w:rFonts w:ascii="Arial" w:hAnsi="Arial" w:eastAsia="Arial Unicode MS" w:cs="Arial"/>
                <w:b/>
                <w:bCs/>
              </w:rPr>
            </w:pPr>
            <w:r>
              <w:rPr>
                <w:rFonts w:cs="Arial" w:ascii="Arial" w:hAnsi="Arial"/>
                <w:b/>
                <w:bCs/>
              </w:rPr>
              <w:t>CPI</w:t>
            </w:r>
          </w:p>
        </w:tc>
        <w:tc>
          <w:tcPr>
            <w:tcW w:w="94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749" w:type="dxa"/>
            <w:tcBorders>
              <w:top w:val="single" w:sz="4" w:space="0" w:color="000000"/>
              <w:start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Bank/Institution</w:t>
            </w:r>
          </w:p>
        </w:tc>
        <w:tc>
          <w:tcPr>
            <w:tcW w:w="941"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Date</w:t>
            </w:r>
          </w:p>
        </w:tc>
        <w:tc>
          <w:tcPr>
            <w:tcW w:w="970"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2000</w:t>
            </w:r>
          </w:p>
        </w:tc>
        <w:tc>
          <w:tcPr>
            <w:tcW w:w="970"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2001</w:t>
            </w:r>
          </w:p>
        </w:tc>
        <w:tc>
          <w:tcPr>
            <w:tcW w:w="970"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2002</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Goldman Sachs</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Feb-01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39.2</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57.3</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14.1</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JP Morgan</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Apr-01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39.0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57.2</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23.0</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DRI</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Apr-01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48.4</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57.0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43.9</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Deutsche Bank</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Apr-01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39.0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55.0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25.0</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IIF</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Mar-01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39.0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60.0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42.8</w:t>
            </w:r>
          </w:p>
        </w:tc>
      </w:tr>
      <w:tr>
        <w:trPr>
          <w:trHeight w:val="28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Consensus Forecast</w:t>
            </w:r>
            <w:r>
              <w:rPr>
                <w:rFonts w:cs="Arial" w:ascii="Arial" w:hAnsi="Arial"/>
                <w:b/>
                <w:bCs/>
                <w:sz w:val="20"/>
                <w:szCs w:val="20"/>
                <w:vertAlign w:val="superscript"/>
              </w:rPr>
              <w:t>1</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Mar-01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54.6</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51.8</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31.5</w:t>
            </w:r>
          </w:p>
        </w:tc>
      </w:tr>
      <w:tr>
        <w:trPr>
          <w:trHeight w:val="255" w:hRule="atLeast"/>
        </w:trPr>
        <w:tc>
          <w:tcPr>
            <w:tcW w:w="2749" w:type="dxa"/>
            <w:tcBorders>
              <w:start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Average</w:t>
            </w:r>
          </w:p>
        </w:tc>
        <w:tc>
          <w:tcPr>
            <w:tcW w:w="941"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 </w:t>
            </w:r>
          </w:p>
        </w:tc>
        <w:tc>
          <w:tcPr>
            <w:tcW w:w="970"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43.2</w:t>
            </w:r>
          </w:p>
        </w:tc>
        <w:tc>
          <w:tcPr>
            <w:tcW w:w="970"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56.4</w:t>
            </w:r>
          </w:p>
        </w:tc>
        <w:tc>
          <w:tcPr>
            <w:tcW w:w="970"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30.1</w:t>
            </w:r>
          </w:p>
        </w:tc>
      </w:tr>
      <w:tr>
        <w:trPr>
          <w:trHeight w:val="285" w:hRule="atLeast"/>
        </w:trPr>
        <w:tc>
          <w:tcPr>
            <w:tcW w:w="3690" w:type="dxa"/>
            <w:gridSpan w:val="2"/>
            <w:tcBorders/>
            <w:vAlign w:val="bottom"/>
          </w:tcPr>
          <w:p>
            <w:pPr>
              <w:pStyle w:val="Normal"/>
              <w:rPr>
                <w:rFonts w:ascii="Arial" w:hAnsi="Arial" w:cs="Arial"/>
                <w:b/>
                <w:bCs/>
                <w:i/>
                <w:i/>
                <w:iCs/>
                <w:szCs w:val="20"/>
                <w:vertAlign w:val="superscript"/>
              </w:rPr>
            </w:pPr>
            <w:r>
              <w:rPr>
                <w:rFonts w:eastAsia="Arial" w:cs="Arial" w:ascii="Arial" w:hAnsi="Arial"/>
                <w:sz w:val="20"/>
                <w:szCs w:val="20"/>
              </w:rPr>
              <w:t xml:space="preserve"> </w:t>
            </w:r>
            <w:r>
              <w:rPr>
                <w:rFonts w:cs="Arial" w:ascii="Arial" w:hAnsi="Arial"/>
                <w:i/>
                <w:iCs/>
                <w:sz w:val="20"/>
                <w:szCs w:val="20"/>
              </w:rPr>
              <w:t>Government Targets</w:t>
            </w:r>
          </w:p>
        </w:tc>
        <w:tc>
          <w:tcPr>
            <w:tcW w:w="970" w:type="dxa"/>
            <w:tcBorders/>
            <w:vAlign w:val="bottom"/>
          </w:tcPr>
          <w:p>
            <w:pPr>
              <w:pStyle w:val="Normal"/>
              <w:snapToGrid w:val="false"/>
              <w:rPr>
                <w:rFonts w:ascii="Arial" w:hAnsi="Arial" w:eastAsia="Arial Unicode MS" w:cs="Arial"/>
                <w:b/>
                <w:bCs/>
                <w:i/>
                <w:i/>
                <w:iCs/>
                <w:sz w:val="20"/>
                <w:szCs w:val="20"/>
                <w:vertAlign w:val="superscript"/>
              </w:rPr>
            </w:pPr>
            <w:r>
              <w:rPr>
                <w:rFonts w:eastAsia="Arial Unicode MS" w:cs="Arial" w:ascii="Arial" w:hAnsi="Arial"/>
                <w:b/>
                <w:bCs/>
                <w:i/>
                <w:iCs/>
                <w:sz w:val="20"/>
                <w:szCs w:val="20"/>
                <w:vertAlign w:val="superscript"/>
              </w:rPr>
            </w:r>
          </w:p>
        </w:tc>
        <w:tc>
          <w:tcPr>
            <w:tcW w:w="970" w:type="dxa"/>
            <w:tcBorders/>
            <w:vAlign w:val="bottom"/>
          </w:tcPr>
          <w:p>
            <w:pPr>
              <w:pStyle w:val="Normal"/>
              <w:jc w:val="center"/>
              <w:rPr>
                <w:rFonts w:ascii="Arial" w:hAnsi="Arial" w:eastAsia="Arial Unicode MS" w:cs="Arial"/>
                <w:sz w:val="20"/>
                <w:szCs w:val="20"/>
              </w:rPr>
            </w:pPr>
            <w:r>
              <w:rPr>
                <w:rFonts w:eastAsia="Arial Unicode MS" w:cs="Arial" w:ascii="Arial" w:hAnsi="Arial"/>
                <w:sz w:val="20"/>
                <w:szCs w:val="20"/>
              </w:rPr>
              <w:t>52.5</w:t>
            </w:r>
          </w:p>
        </w:tc>
        <w:tc>
          <w:tcPr>
            <w:tcW w:w="970" w:type="dxa"/>
            <w:tcBorders/>
            <w:vAlign w:val="bottom"/>
          </w:tcPr>
          <w:p>
            <w:pPr>
              <w:pStyle w:val="Normal"/>
              <w:jc w:val="center"/>
              <w:rPr>
                <w:rFonts w:ascii="Arial" w:hAnsi="Arial" w:eastAsia="Arial Unicode MS" w:cs="Arial"/>
                <w:sz w:val="20"/>
                <w:szCs w:val="20"/>
              </w:rPr>
            </w:pPr>
            <w:r>
              <w:rPr>
                <w:rFonts w:eastAsia="Arial Unicode MS" w:cs="Arial" w:ascii="Arial" w:hAnsi="Arial"/>
                <w:sz w:val="20"/>
                <w:szCs w:val="20"/>
              </w:rPr>
              <w:t>20</w:t>
            </w:r>
          </w:p>
        </w:tc>
      </w:tr>
      <w:tr>
        <w:trPr>
          <w:trHeight w:val="285" w:hRule="atLeast"/>
        </w:trPr>
        <w:tc>
          <w:tcPr>
            <w:tcW w:w="3690" w:type="dxa"/>
            <w:gridSpan w:val="2"/>
            <w:tcBorders/>
            <w:vAlign w:val="bottom"/>
          </w:tcPr>
          <w:p>
            <w:pPr>
              <w:pStyle w:val="Normal"/>
              <w:rPr>
                <w:rFonts w:ascii="Arial" w:hAnsi="Arial" w:eastAsia="Arial Unicode MS" w:cs="Arial"/>
                <w:b/>
                <w:bCs/>
                <w:sz w:val="20"/>
                <w:szCs w:val="20"/>
              </w:rPr>
            </w:pPr>
            <w:r>
              <w:rPr>
                <w:rFonts w:cs="Arial" w:ascii="Arial" w:hAnsi="Arial"/>
                <w:b/>
                <w:bCs/>
                <w:sz w:val="20"/>
                <w:szCs w:val="20"/>
                <w:vertAlign w:val="superscript"/>
              </w:rPr>
              <w:t xml:space="preserve">1 </w:t>
            </w:r>
            <w:r>
              <w:rPr>
                <w:rFonts w:cs="Arial" w:ascii="Arial" w:hAnsi="Arial"/>
                <w:b/>
                <w:bCs/>
                <w:sz w:val="20"/>
                <w:szCs w:val="20"/>
              </w:rPr>
              <w:t>2001 - High:</w:t>
            </w:r>
            <w:r>
              <w:rPr>
                <w:rFonts w:cs="Arial" w:ascii="Arial" w:hAnsi="Arial"/>
                <w:sz w:val="20"/>
                <w:szCs w:val="20"/>
              </w:rPr>
              <w:t xml:space="preserve"> 80.0       </w:t>
            </w:r>
            <w:r>
              <w:rPr>
                <w:rFonts w:cs="Arial" w:ascii="Arial" w:hAnsi="Arial"/>
                <w:b/>
                <w:bCs/>
                <w:sz w:val="20"/>
                <w:szCs w:val="20"/>
              </w:rPr>
              <w:t>Low:</w:t>
            </w:r>
            <w:r>
              <w:rPr>
                <w:rFonts w:cs="Arial" w:ascii="Arial" w:hAnsi="Arial"/>
                <w:sz w:val="20"/>
                <w:szCs w:val="20"/>
              </w:rPr>
              <w:t xml:space="preserve"> 38.6</w:t>
            </w:r>
          </w:p>
        </w:tc>
        <w:tc>
          <w:tcPr>
            <w:tcW w:w="97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690" w:type="dxa"/>
            <w:gridSpan w:val="2"/>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2002 - High: </w:t>
            </w:r>
            <w:r>
              <w:rPr>
                <w:rFonts w:cs="Arial" w:ascii="Arial" w:hAnsi="Arial"/>
                <w:sz w:val="20"/>
                <w:szCs w:val="20"/>
              </w:rPr>
              <w:t xml:space="preserve"> 55.0</w:t>
            </w:r>
            <w:r>
              <w:rPr>
                <w:rFonts w:cs="Arial" w:ascii="Arial" w:hAnsi="Arial"/>
                <w:b/>
                <w:bCs/>
                <w:sz w:val="20"/>
                <w:szCs w:val="20"/>
              </w:rPr>
              <w:t xml:space="preserve">       Low: </w:t>
            </w:r>
            <w:r>
              <w:rPr>
                <w:rFonts w:cs="Arial" w:ascii="Arial" w:hAnsi="Arial"/>
                <w:sz w:val="20"/>
                <w:szCs w:val="20"/>
              </w:rPr>
              <w:t>14.1</w:t>
            </w:r>
          </w:p>
        </w:tc>
        <w:tc>
          <w:tcPr>
            <w:tcW w:w="97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749"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4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2749" w:type="dxa"/>
            <w:tcBorders/>
            <w:vAlign w:val="bottom"/>
          </w:tcPr>
          <w:p>
            <w:pPr>
              <w:pStyle w:val="Normal"/>
              <w:rPr>
                <w:rFonts w:ascii="Arial" w:hAnsi="Arial" w:eastAsia="Arial Unicode MS" w:cs="Arial"/>
                <w:b/>
                <w:bCs/>
              </w:rPr>
            </w:pPr>
            <w:r>
              <w:rPr>
                <w:rFonts w:cs="Arial" w:ascii="Arial" w:hAnsi="Arial"/>
                <w:b/>
                <w:bCs/>
              </w:rPr>
              <w:t>Lira FX - Annual</w:t>
            </w:r>
          </w:p>
        </w:tc>
        <w:tc>
          <w:tcPr>
            <w:tcW w:w="94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749" w:type="dxa"/>
            <w:tcBorders>
              <w:top w:val="single" w:sz="4" w:space="0" w:color="000000"/>
              <w:start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Bank/Institution</w:t>
            </w:r>
          </w:p>
        </w:tc>
        <w:tc>
          <w:tcPr>
            <w:tcW w:w="941"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Date</w:t>
            </w:r>
          </w:p>
        </w:tc>
        <w:tc>
          <w:tcPr>
            <w:tcW w:w="970"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2000</w:t>
            </w:r>
          </w:p>
        </w:tc>
        <w:tc>
          <w:tcPr>
            <w:tcW w:w="970"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2001</w:t>
            </w:r>
          </w:p>
        </w:tc>
        <w:tc>
          <w:tcPr>
            <w:tcW w:w="970"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2002</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JP Morgan</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Apr-01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673400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1395000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1700000</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xml:space="preserve">DRI </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Mar-01</w:t>
            </w:r>
          </w:p>
        </w:tc>
        <w:tc>
          <w:tcPr>
            <w:tcW w:w="970" w:type="dxa"/>
            <w:tcBorders/>
            <w:vAlign w:val="bottom"/>
          </w:tcPr>
          <w:p>
            <w:pPr>
              <w:pStyle w:val="Normal"/>
              <w:jc w:val="center"/>
              <w:rPr>
                <w:rFonts w:ascii="Arial" w:hAnsi="Arial" w:eastAsia="Arial Unicode MS" w:cs="Arial"/>
                <w:sz w:val="20"/>
                <w:szCs w:val="20"/>
              </w:rPr>
            </w:pPr>
            <w:r>
              <w:rPr>
                <w:rFonts w:cs="Arial" w:ascii="Arial" w:hAnsi="Arial"/>
                <w:sz w:val="20"/>
                <w:szCs w:val="20"/>
              </w:rPr>
              <w:t>673385</w:t>
            </w:r>
          </w:p>
        </w:tc>
        <w:tc>
          <w:tcPr>
            <w:tcW w:w="970" w:type="dxa"/>
            <w:tcBorders>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1312057</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1605581</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Deutsche Bank</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Apr-01</w:t>
            </w:r>
          </w:p>
        </w:tc>
        <w:tc>
          <w:tcPr>
            <w:tcW w:w="970" w:type="dxa"/>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671765</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1400000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1700000</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IIF</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Mar-01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676865</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1230242</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1560245</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Consensus Forecast</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Mar-01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625200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1008000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1271000</w:t>
            </w:r>
          </w:p>
        </w:tc>
      </w:tr>
      <w:tr>
        <w:trPr>
          <w:trHeight w:val="255" w:hRule="atLeast"/>
        </w:trPr>
        <w:tc>
          <w:tcPr>
            <w:tcW w:w="2749" w:type="dxa"/>
            <w:tcBorders>
              <w:start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Average</w:t>
            </w:r>
          </w:p>
        </w:tc>
        <w:tc>
          <w:tcPr>
            <w:tcW w:w="941"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 </w:t>
            </w:r>
          </w:p>
        </w:tc>
        <w:tc>
          <w:tcPr>
            <w:tcW w:w="970"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664123</w:t>
            </w:r>
          </w:p>
        </w:tc>
        <w:tc>
          <w:tcPr>
            <w:tcW w:w="970"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1269060</w:t>
            </w:r>
          </w:p>
        </w:tc>
        <w:tc>
          <w:tcPr>
            <w:tcW w:w="970"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1567365</w:t>
            </w:r>
          </w:p>
        </w:tc>
      </w:tr>
      <w:tr>
        <w:trPr>
          <w:trHeight w:val="255" w:hRule="atLeast"/>
        </w:trPr>
        <w:tc>
          <w:tcPr>
            <w:tcW w:w="2749"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941"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97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97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97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r>
      <w:tr>
        <w:trPr>
          <w:trHeight w:val="315" w:hRule="atLeast"/>
        </w:trPr>
        <w:tc>
          <w:tcPr>
            <w:tcW w:w="3690" w:type="dxa"/>
            <w:gridSpan w:val="2"/>
            <w:tcBorders/>
            <w:vAlign w:val="bottom"/>
          </w:tcPr>
          <w:p>
            <w:pPr>
              <w:pStyle w:val="Normal"/>
              <w:rPr>
                <w:rFonts w:ascii="Arial" w:hAnsi="Arial" w:eastAsia="Arial Unicode MS" w:cs="Arial"/>
                <w:b/>
                <w:bCs/>
              </w:rPr>
            </w:pPr>
            <w:r>
              <w:rPr>
                <w:rFonts w:cs="Arial" w:ascii="Arial" w:hAnsi="Arial"/>
                <w:b/>
                <w:bCs/>
              </w:rPr>
              <w:t>Lira FX - 3M, 6M, 12M</w:t>
            </w:r>
          </w:p>
        </w:tc>
        <w:tc>
          <w:tcPr>
            <w:tcW w:w="97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749" w:type="dxa"/>
            <w:tcBorders>
              <w:top w:val="single" w:sz="4" w:space="0" w:color="000000"/>
              <w:start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eastAsia="Arial Unicode MS" w:cs="Arial" w:ascii="Arial" w:hAnsi="Arial"/>
                <w:b/>
                <w:bCs/>
                <w:sz w:val="20"/>
                <w:szCs w:val="20"/>
              </w:rPr>
              <w:t>Bank/Institution</w:t>
            </w:r>
          </w:p>
        </w:tc>
        <w:tc>
          <w:tcPr>
            <w:tcW w:w="941"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 xml:space="preserve">Date </w:t>
            </w:r>
          </w:p>
        </w:tc>
        <w:tc>
          <w:tcPr>
            <w:tcW w:w="970"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3M</w:t>
            </w:r>
          </w:p>
        </w:tc>
        <w:tc>
          <w:tcPr>
            <w:tcW w:w="970"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6M</w:t>
            </w:r>
          </w:p>
        </w:tc>
        <w:tc>
          <w:tcPr>
            <w:tcW w:w="970" w:type="dxa"/>
            <w:tcBorders>
              <w:top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12M</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Goldman Sachs</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Apr-01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1200000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1224000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1351395</w:t>
            </w:r>
          </w:p>
        </w:tc>
      </w:tr>
      <w:tr>
        <w:trPr>
          <w:trHeight w:val="255" w:hRule="atLeast"/>
        </w:trPr>
        <w:tc>
          <w:tcPr>
            <w:tcW w:w="2749"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Deutsche Bank</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Apr-01</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1200000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1300000</w:t>
            </w:r>
          </w:p>
        </w:tc>
        <w:tc>
          <w:tcPr>
            <w:tcW w:w="97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1500000</w:t>
            </w:r>
          </w:p>
        </w:tc>
      </w:tr>
      <w:tr>
        <w:trPr>
          <w:trHeight w:val="255" w:hRule="atLeast"/>
        </w:trPr>
        <w:tc>
          <w:tcPr>
            <w:tcW w:w="2749" w:type="dxa"/>
            <w:tcBorders>
              <w:start w:val="single" w:sz="4" w:space="0" w:color="000000"/>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Average</w:t>
            </w:r>
          </w:p>
        </w:tc>
        <w:tc>
          <w:tcPr>
            <w:tcW w:w="941" w:type="dxa"/>
            <w:tcBorders>
              <w:bottom w:val="single" w:sz="4" w:space="0" w:color="000000"/>
              <w:end w:val="single" w:sz="4" w:space="0" w:color="000000"/>
            </w:tcBorders>
            <w:shd w:fill="99CCFF"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70"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1200000</w:t>
            </w:r>
          </w:p>
        </w:tc>
        <w:tc>
          <w:tcPr>
            <w:tcW w:w="970"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1262000</w:t>
            </w:r>
          </w:p>
        </w:tc>
        <w:tc>
          <w:tcPr>
            <w:tcW w:w="970" w:type="dxa"/>
            <w:tcBorders>
              <w:bottom w:val="single" w:sz="4" w:space="0" w:color="000000"/>
              <w:end w:val="single" w:sz="4" w:space="0" w:color="000000"/>
            </w:tcBorders>
            <w:shd w:fill="99CCFF"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1425698</w:t>
            </w:r>
          </w:p>
        </w:tc>
      </w:tr>
      <w:tr>
        <w:trPr>
          <w:trHeight w:val="255" w:hRule="atLeast"/>
        </w:trPr>
        <w:tc>
          <w:tcPr>
            <w:tcW w:w="2749"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4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jc w:val="center"/>
        <w:rPr/>
      </w:pPr>
      <w:r>
        <w:rPr/>
      </w:r>
    </w:p>
    <w:sectPr>
      <w:headerReference w:type="default" r:id="rId4"/>
      <w:footerReference w:type="default" r:id="rId5"/>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Prepared by the ENA Research Group </w:t>
    </w:r>
  </w:p>
  <w:p>
    <w:pPr>
      <w:pStyle w:val="Foot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5</w:t>
    </w:r>
    <w:r>
      <w:rPr>
        <w:rStyle w:val="PageNumber"/>
        <w:sz w:val="20"/>
      </w:rPr>
      <w:fldChar w:fldCharType="end"/>
    </w:r>
  </w:p>
  <w:p>
    <w:pPr>
      <w:pStyle w:val="Footer"/>
      <w:rPr>
        <w:sz w:val="20"/>
      </w:rPr>
    </w:pPr>
    <w:r>
      <w:rPr>
        <w:sz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Middle Eastern Economic Survey (MEES), 5 March, 9 April,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t>Turkey</w:t>
    </w:r>
  </w:p>
  <w:p>
    <w:pPr>
      <w:pStyle w:val="Subtitle"/>
      <w:rPr/>
    </w:pPr>
    <w:r>
      <w:rPr/>
      <w:t>A Macroeconomic Update (19 April 2001)</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jc w:val="center"/>
      <w:outlineLvl w:val="1"/>
    </w:pPr>
    <w:rPr>
      <w:i/>
      <w:iCs/>
    </w:rPr>
  </w:style>
  <w:style w:type="paragraph" w:styleId="Heading3">
    <w:name w:val="heading 3"/>
    <w:basedOn w:val="Normal"/>
    <w:next w:val="Normal"/>
    <w:qFormat/>
    <w:pPr>
      <w:keepNext w:val="true"/>
      <w:numPr>
        <w:ilvl w:val="2"/>
        <w:numId w:val="1"/>
      </w:numPr>
      <w:outlineLvl w:val="2"/>
    </w:pPr>
    <w:rPr>
      <w:rFonts w:ascii="Arial" w:hAnsi="Arial" w:cs="Arial"/>
      <w:b/>
      <w:bCs/>
    </w:rPr>
  </w:style>
  <w:style w:type="paragraph" w:styleId="Heading4">
    <w:name w:val="heading 4"/>
    <w:basedOn w:val="Normal"/>
    <w:next w:val="Normal"/>
    <w:qFormat/>
    <w:pPr>
      <w:keepNext w:val="true"/>
      <w:numPr>
        <w:ilvl w:val="3"/>
        <w:numId w:val="1"/>
      </w:numPr>
      <w:jc w:val="center"/>
      <w:outlineLvl w:val="3"/>
    </w:pPr>
    <w:rPr>
      <w:b/>
      <w:bCs/>
      <w:sz w:val="32"/>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rFonts w:ascii="Wingdings" w:hAnsi="Wingdings" w:cs="Wingdings"/>
      <w:sz w:val="16"/>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u w:val="single"/>
    </w:rPr>
  </w:style>
  <w:style w:type="paragraph" w:styleId="BodyText2">
    <w:name w:val="Body Text 2"/>
    <w:basedOn w:val="Normal"/>
    <w:qFormat/>
    <w:pPr>
      <w:jc w:val="center"/>
    </w:pPr>
    <w:rPr/>
  </w:style>
  <w:style w:type="paragraph" w:styleId="FootnoteText">
    <w:name w:val="footnote text"/>
    <w:basedOn w:val="Normal"/>
    <w:pPr/>
    <w:rPr>
      <w:sz w:val="20"/>
      <w:szCs w:val="20"/>
    </w:rPr>
  </w:style>
  <w:style w:type="paragraph" w:styleId="xl33">
    <w:name w:val="xl33"/>
    <w:basedOn w:val="Normal"/>
    <w:qFormat/>
    <w:pPr>
      <w:spacing w:before="100" w:after="100"/>
      <w:jc w:val="center"/>
    </w:pPr>
    <w:rPr>
      <w:rFonts w:ascii="Arial Unicode MS" w:hAnsi="Arial Unicode MS" w:eastAsia="Arial Unicode MS" w:cs="Arial Unicode M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2001-04-19T12:26:00Z</dcterms:created>
  <dc:creator>gkoepke</dc:creator>
  <dc:description/>
  <dc:language>en-CA</dc:language>
  <cp:lastModifiedBy>gkoepke</cp:lastModifiedBy>
  <cp:lastPrinted>2001-04-19T18:49:00Z</cp:lastPrinted>
  <dcterms:modified xsi:type="dcterms:W3CDTF">2001-04-19T21:25:00Z</dcterms:modified>
  <cp:revision>3</cp:revision>
  <dc:subject/>
  <dc:title>Turkey</dc:title>
</cp:coreProperties>
</file>