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i w:val="false"/>
          <w:i w:val="false"/>
          <w:iCs w:val="false"/>
        </w:rPr>
      </w:pPr>
      <w:r>
        <w:rPr>
          <w:i w:val="false"/>
          <w:iCs w:val="false"/>
        </w:rPr>
        <w:t>The economic fundamentals in Turkey remain weak.  High domestic interest rates, inadequate access to the international capital markets and troubled public finances must be addressed to restore macroeconomic stability in Turkey.  Despite the recent successful debt swap and the IMF financing package, which has been supported by the OECD, structural measures are still needed to complete the IMF review and to revive economic growth.  Political resolve needed to address the structural weaknesses of the banking sector and carry out privatization efforts remains the weak link in the chain of events needed to revive investor confidence in the Turkish economy.  Until the IMF-sponsored program is successful in achieving its objectives, the lira will show persistent signs of weakness throughout 2001/2 and as a consequence, inflationary pressures will be heightened this year and next.</w:t>
      </w:r>
    </w:p>
    <w:p>
      <w:pPr>
        <w:pStyle w:val="Heading1"/>
        <w:ind w:hanging="0" w:start="0"/>
        <w:rPr>
          <w:i w:val="false"/>
          <w:i w:val="false"/>
          <w:iCs w:val="false"/>
        </w:rPr>
      </w:pPr>
      <w:r>
        <w:rPr>
          <w:i w:val="false"/>
          <w:iCs w:val="false"/>
        </w:rPr>
      </w:r>
    </w:p>
    <w:p>
      <w:pPr>
        <w:pStyle w:val="Heading1"/>
        <w:ind w:hanging="0" w:start="0"/>
        <w:rPr>
          <w:b/>
          <w:bCs/>
        </w:rPr>
      </w:pPr>
      <w:r>
        <w:rPr>
          <w:b/>
          <w:bCs/>
        </w:rPr>
        <w:t>IMF Program Objectives</w:t>
      </w:r>
    </w:p>
    <w:p>
      <w:pPr>
        <w:pStyle w:val="Normal"/>
        <w:rPr>
          <w:b/>
          <w:bCs/>
        </w:rPr>
      </w:pPr>
      <w:r>
        <w:rPr>
          <w:b/>
          <w:bCs/>
        </w:rPr>
      </w:r>
    </w:p>
    <w:p>
      <w:pPr>
        <w:pStyle w:val="NormalWeb"/>
        <w:rPr>
          <w:rFonts w:ascii="Times New Roman" w:hAnsi="Times New Roman" w:cs="Times New Roman"/>
        </w:rPr>
      </w:pPr>
      <w:r>
        <w:rPr>
          <w:rFonts w:cs="Times New Roman" w:ascii="Times New Roman" w:hAnsi="Times New Roman"/>
        </w:rPr>
        <w:t>The stand-by credit arrangement from the IMF totals $19.0bn.  Turkey has drawn a total of SDR 3.9 billion (about US$4.9 billion) from the IMF, as of May 2001.  According to the IMF, the Turkish program aims at strengthening confidence, addressing the costs arising from the crisis by increasing the primary fiscal surplus, speeding up the reform of the banking sector, and undertaking wide-ranging structural reforms.  Decisive implementation of the program's policies, together with the availability of significant additional external support, should initiate a virtuous cycle characterized by lower interest rates, stronger public finances, and a recovery of economic activity.</w:t>
      </w:r>
    </w:p>
    <w:p>
      <w:pPr>
        <w:pStyle w:val="NormalWeb"/>
        <w:rPr>
          <w:rFonts w:ascii="Times New Roman" w:hAnsi="Times New Roman" w:cs="Times New Roman"/>
        </w:rPr>
      </w:pPr>
      <w:r>
        <w:rPr>
          <w:rFonts w:cs="Times New Roman" w:ascii="Times New Roman" w:hAnsi="Times New Roman"/>
        </w:rPr>
        <w:t xml:space="preserve">In its May 2001 press release, the Fund commended the depth and breadth of the new economic program. It stated that the emphasis on banking reform is appropriate, especially given the structural weaknesses in this area that were seen during the recent crises. The elimination of public sector banks' large overnight exposure, their full re-capitalization, and the overhaul of their governance structure will go a long way to strengthen the financial sector. In addition, measures to privatize key companies and reform major domestic markets, including the telecommunications, electricity, natural gas, tobacco, and sugar markets, and to enhance governance and improve transparency, are essential elements of the program. </w:t>
      </w:r>
    </w:p>
    <w:p>
      <w:pPr>
        <w:pStyle w:val="Normal"/>
        <w:rPr>
          <w:rFonts w:ascii="Times New Roman" w:hAnsi="Times New Roman" w:cs="Times New Roman"/>
        </w:rPr>
      </w:pPr>
      <w:r>
        <w:rPr>
          <w:rFonts w:cs="Times New Roman"/>
        </w:rPr>
      </w:r>
    </w:p>
    <w:p>
      <w:pPr>
        <w:pStyle w:val="Heading1"/>
        <w:ind w:hanging="0" w:start="0"/>
        <w:rPr>
          <w:b/>
          <w:bCs/>
        </w:rPr>
      </w:pPr>
      <w:r>
        <w:rPr>
          <w:b/>
          <w:bCs/>
        </w:rPr>
        <w:t>Recent Developments</w:t>
      </w:r>
    </w:p>
    <w:p>
      <w:pPr>
        <w:pStyle w:val="Normal"/>
        <w:rPr>
          <w:b/>
          <w:bCs/>
        </w:rPr>
      </w:pPr>
      <w:r>
        <w:rPr>
          <w:b/>
          <w:bCs/>
        </w:rPr>
      </w:r>
    </w:p>
    <w:p>
      <w:pPr>
        <w:pStyle w:val="Normal"/>
        <w:numPr>
          <w:ilvl w:val="0"/>
          <w:numId w:val="2"/>
        </w:numPr>
        <w:rPr/>
      </w:pPr>
      <w:r>
        <w:rPr>
          <w:u w:val="single"/>
        </w:rPr>
        <w:t>Debt Swap Gives Financing Breathing Room and Reduces Short-Term Domestic Debt Rollover Risk</w:t>
      </w:r>
      <w:r>
        <w:rPr/>
        <w:t xml:space="preserve"> – Turkey completed a successful debt swap valued at a total of $8.0bn (TRL9,335 trillion) that helps lowers the country’s debt service costs by $4.7bn in 2001 and by $6.3bn in 2002.  Due to high demand, an additional $730 million was announced (this amount is included in the $8.0bn total).  According to GS, lower than expected implied yields on the bids allowed the government to raise the size of the swap without having to pay yields above expectations. The debt swap extended the average maturity of debt to 37.2 months from 5.5 months (5.3 months according to GS).  </w:t>
      </w:r>
      <w:r>
        <w:rPr>
          <w:b/>
          <w:bCs/>
        </w:rPr>
        <w:t>The swap should help lower volatility in the exchange rate and ease the dollar buying demand in the market</w:t>
      </w:r>
      <w:r>
        <w:rPr/>
        <w:t xml:space="preserve">.  Economy Minister Dervis said he doesn’t expect there to be another similar debt swap operation in the future.  The exchange rate of the swap was 1,160,000 (lower than current spot rates of above 1,200,000).  This favorable exchange rate of 1,160,000 (when market rates were above 1,200,000) allowed local banks to close out their open FX positions.  </w:t>
      </w:r>
    </w:p>
    <w:p>
      <w:pPr>
        <w:pStyle w:val="Normal"/>
        <w:numPr>
          <w:ilvl w:val="0"/>
          <w:numId w:val="2"/>
        </w:numPr>
        <w:rPr/>
      </w:pPr>
      <w:r>
        <w:rPr>
          <w:u w:val="single"/>
        </w:rPr>
        <w:t>Compliance with IMF Criteria</w:t>
      </w:r>
      <w:r>
        <w:rPr/>
        <w:t xml:space="preserve"> – In anticipation of the June 25 IMF board meeting where another $1.56bn IMF disbursement is at stake, the Turkish government is set to pass a number of new laws.  The total amount of IMF credit available is $19bn. </w:t>
      </w:r>
    </w:p>
    <w:p>
      <w:pPr>
        <w:pStyle w:val="Normal"/>
        <w:numPr>
          <w:ilvl w:val="0"/>
          <w:numId w:val="4"/>
        </w:numPr>
        <w:rPr/>
      </w:pPr>
      <w:r>
        <w:rPr/>
        <w:t>Tobacco law: eliminates government monopoly of Tekel, the state tobacco company</w:t>
      </w:r>
    </w:p>
    <w:p>
      <w:pPr>
        <w:pStyle w:val="Normal"/>
        <w:numPr>
          <w:ilvl w:val="0"/>
          <w:numId w:val="4"/>
        </w:numPr>
        <w:rPr/>
      </w:pPr>
      <w:r>
        <w:rPr/>
        <w:t xml:space="preserve">Emlak Bank: liquidation approved (bank closure) </w:t>
      </w:r>
    </w:p>
    <w:p>
      <w:pPr>
        <w:pStyle w:val="Normal"/>
        <w:numPr>
          <w:ilvl w:val="0"/>
          <w:numId w:val="4"/>
        </w:numPr>
        <w:rPr/>
      </w:pPr>
      <w:r>
        <w:rPr/>
        <w:t>Laws to be passed for (1). Mergers and acquisitions (incl. Extension of tax incentives to bank mergers), (2). Elimination of duty losses of state banks, and (3). liquidation of funds, (4) international arbitration</w:t>
      </w:r>
    </w:p>
    <w:p>
      <w:pPr>
        <w:pStyle w:val="Normal"/>
        <w:numPr>
          <w:ilvl w:val="0"/>
          <w:numId w:val="4"/>
        </w:numPr>
        <w:rPr/>
      </w:pPr>
      <w:r>
        <w:rPr/>
        <w:t xml:space="preserve">Turk Telecom: The appointment of a professional team to the board of Turk Telecom may cause political squabbling, but is an IMF condition. </w:t>
      </w:r>
    </w:p>
    <w:p>
      <w:pPr>
        <w:pStyle w:val="Normal"/>
        <w:numPr>
          <w:ilvl w:val="0"/>
          <w:numId w:val="4"/>
        </w:numPr>
        <w:rPr/>
      </w:pPr>
      <w:r>
        <w:rPr/>
        <w:t xml:space="preserve">There is little opportunity for the Turkish government to be complacent after the successful completion of the debt swap due to the IMF’s insistence that Ankara adhere to its commitments (FT, 6/18/01).  </w:t>
      </w:r>
    </w:p>
    <w:p>
      <w:pPr>
        <w:pStyle w:val="Normal"/>
        <w:numPr>
          <w:ilvl w:val="0"/>
          <w:numId w:val="2"/>
        </w:numPr>
        <w:rPr/>
      </w:pPr>
      <w:r>
        <w:rPr>
          <w:u w:val="single"/>
        </w:rPr>
        <w:t>Views From Investment Banks</w:t>
      </w:r>
      <w:r>
        <w:rPr/>
        <w:t>:</w:t>
      </w:r>
    </w:p>
    <w:p>
      <w:pPr>
        <w:pStyle w:val="Normal"/>
        <w:numPr>
          <w:ilvl w:val="0"/>
          <w:numId w:val="6"/>
        </w:numPr>
        <w:rPr/>
      </w:pPr>
      <w:r>
        <w:rPr>
          <w:u w:val="single"/>
        </w:rPr>
        <w:t>Goldman Sachs</w:t>
      </w:r>
      <w:r>
        <w:rPr/>
        <w:t xml:space="preserve">: Maintain their long-term negative view on TRL assets and FX debt due to the high debt ratios, recession and political instability. </w:t>
      </w:r>
    </w:p>
    <w:p>
      <w:pPr>
        <w:pStyle w:val="Normal"/>
        <w:numPr>
          <w:ilvl w:val="0"/>
          <w:numId w:val="6"/>
        </w:numPr>
        <w:rPr/>
      </w:pPr>
      <w:r>
        <w:rPr>
          <w:u w:val="single"/>
        </w:rPr>
        <w:t>JPM/Chase</w:t>
      </w:r>
      <w:r>
        <w:rPr/>
        <w:t xml:space="preserve">: The exchange of short-term domestic government bonds into longer-dated and US$-dollar linked paper helps ease the near-term interest rate burden (especially because of the implied $5bn that is effectively swapped out of local-currency debt into foreign currency debt), but also raises the risk of delinquency should the latest stabilization program fail.  On June 7, JPM/C recommended staying away from the local market. </w:t>
      </w:r>
    </w:p>
    <w:p>
      <w:pPr>
        <w:pStyle w:val="Normal"/>
        <w:numPr>
          <w:ilvl w:val="0"/>
          <w:numId w:val="6"/>
        </w:numPr>
        <w:rPr/>
      </w:pPr>
      <w:r>
        <w:rPr>
          <w:u w:val="single"/>
        </w:rPr>
        <w:t>Deutsche Bank</w:t>
      </w:r>
      <w:r>
        <w:rPr/>
        <w:t>: Overall the auction (debt swap) might be considered as successful from the rollover point of view</w:t>
      </w:r>
    </w:p>
    <w:p>
      <w:pPr>
        <w:pStyle w:val="Normal"/>
        <w:numPr>
          <w:ilvl w:val="0"/>
          <w:numId w:val="2"/>
        </w:numPr>
        <w:rPr>
          <w:u w:val="single"/>
        </w:rPr>
      </w:pPr>
      <w:r>
        <w:rPr>
          <w:u w:val="single"/>
        </w:rPr>
        <w:t>Real GDP - IMF Forecasts</w:t>
      </w:r>
      <w:r>
        <w:rPr/>
        <w:t xml:space="preserve"> – GDP will contract by 3.0 percent in 2001, grow by 5.0 percent in 2002 and 6 percent in 2003. </w:t>
      </w:r>
    </w:p>
    <w:p>
      <w:pPr>
        <w:pStyle w:val="Normal"/>
        <w:rPr>
          <w:u w:val="single"/>
        </w:rPr>
      </w:pPr>
      <w:r>
        <w:rPr>
          <w:u w:val="single"/>
        </w:rPr>
      </w:r>
    </w:p>
    <w:p>
      <w:pPr>
        <w:pStyle w:val="Heading2"/>
        <w:ind w:hanging="0" w:start="0"/>
        <w:rPr/>
      </w:pPr>
      <w:r>
        <w:rPr/>
        <w:t>Inflation Assumptions/Monetary Policy</w:t>
      </w:r>
    </w:p>
    <w:p>
      <w:pPr>
        <w:pStyle w:val="Normal"/>
        <w:rPr/>
      </w:pPr>
      <w:r>
        <w:rPr/>
      </w:r>
    </w:p>
    <w:p>
      <w:pPr>
        <w:pStyle w:val="Normal"/>
        <w:rPr/>
      </w:pPr>
      <w:r>
        <w:rPr/>
        <w:t xml:space="preserve">The IMF program states that in the short-run, monetary policy will center on monetary aggregates, but over time the authorities intend to shift to a full-fledged inflation-targeting regime. </w:t>
      </w:r>
    </w:p>
    <w:p>
      <w:pPr>
        <w:pStyle w:val="Normal"/>
        <w:rPr/>
      </w:pPr>
      <w:r>
        <w:rPr/>
      </w:r>
    </w:p>
    <w:p>
      <w:pPr>
        <w:pStyle w:val="Normal"/>
        <w:numPr>
          <w:ilvl w:val="0"/>
          <w:numId w:val="5"/>
        </w:numPr>
        <w:rPr/>
      </w:pPr>
      <w:r>
        <w:rPr>
          <w:b/>
          <w:bCs/>
          <w:highlight w:val="lightGray"/>
          <w:u w:val="single"/>
        </w:rPr>
        <w:t>2001</w:t>
      </w:r>
      <w:r>
        <w:rPr/>
        <w:t xml:space="preserve">: Consensus forecast = 59.9 % (Enron forecast: 58.6 %).  Assume weakness of currency to continue, which should feed through to prices throughout 2001, but at a decelerating rate.  Weaker domestic demand due to high interest rates and the sharp devaluation of lira in February 2001 will temper price pressures later in the year.  Privatization of Turk Telecom and of the tobacco monopoly will likely raise prices in 2001/2. </w:t>
      </w:r>
    </w:p>
    <w:p>
      <w:pPr>
        <w:pStyle w:val="Normal"/>
        <w:numPr>
          <w:ilvl w:val="0"/>
          <w:numId w:val="5"/>
        </w:numPr>
        <w:rPr/>
      </w:pPr>
      <w:r>
        <w:rPr>
          <w:b/>
          <w:bCs/>
          <w:highlight w:val="lightGray"/>
          <w:u w:val="single"/>
        </w:rPr>
        <w:t>2002</w:t>
      </w:r>
      <w:r>
        <w:rPr/>
        <w:t xml:space="preserve">: Consensus forecast = 28.72% (Enron forecast: 31.9%). Effect of privatization and growth of domestic demand as the economy recovers from the economic contraction expected in 2001 will probably keep prices higher in 2002. </w:t>
      </w:r>
    </w:p>
    <w:p>
      <w:pPr>
        <w:pStyle w:val="Normal"/>
        <w:numPr>
          <w:ilvl w:val="0"/>
          <w:numId w:val="5"/>
        </w:numPr>
        <w:rPr/>
      </w:pPr>
      <w:r>
        <w:rPr>
          <w:b/>
          <w:bCs/>
          <w:highlight w:val="lightGray"/>
          <w:u w:val="single"/>
        </w:rPr>
        <w:t>2003</w:t>
      </w:r>
      <w:r>
        <w:rPr/>
        <w:t>: The IMF projects that inflation will fall below 20% in 2002.  The results of the IMF stabilization program should be taking effect by 2003; it is likely that inflation will be an important economic target for the Turkish government &amp; the IMF once the Turkish economy stabilizes.  Enron forecast for 2003: 20% (to reach 20% by year-end 2003, the m-o-m % avg. change in inflation is assumed to be 1.53%).</w:t>
      </w:r>
    </w:p>
    <w:p>
      <w:pPr>
        <w:pStyle w:val="Normal"/>
        <w:rPr/>
      </w:pPr>
      <w:r>
        <w:rPr/>
      </w:r>
    </w:p>
    <w:p>
      <w:pPr>
        <w:pStyle w:val="Heading2"/>
        <w:ind w:hanging="0" w:start="0"/>
        <w:rPr/>
      </w:pPr>
      <w:r>
        <w:rPr/>
        <w:t>Currency Forecast Assumptions</w:t>
      </w:r>
    </w:p>
    <w:p>
      <w:pPr>
        <w:pStyle w:val="Normal"/>
        <w:rPr/>
      </w:pPr>
      <w:r>
        <w:rPr/>
      </w:r>
    </w:p>
    <w:p>
      <w:pPr>
        <w:pStyle w:val="Normal"/>
        <w:rPr/>
      </w:pPr>
      <w:r>
        <w:rPr/>
        <w:t xml:space="preserve">Persistent depreciation of lira is expected until economic fundamentals and structural weaknesses in the economy are resolved.  </w:t>
      </w:r>
    </w:p>
    <w:p>
      <w:pPr>
        <w:pStyle w:val="Normal"/>
        <w:rPr/>
      </w:pPr>
      <w:r>
        <w:rPr/>
      </w:r>
    </w:p>
    <w:p>
      <w:pPr>
        <w:pStyle w:val="Normal"/>
        <w:numPr>
          <w:ilvl w:val="0"/>
          <w:numId w:val="3"/>
        </w:numPr>
        <w:rPr/>
      </w:pPr>
      <w:r>
        <w:rPr>
          <w:highlight w:val="lightGray"/>
          <w:u w:val="single"/>
        </w:rPr>
        <w:t>12/31/2001</w:t>
      </w:r>
      <w:r>
        <w:rPr/>
        <w:t xml:space="preserve"> forward: </w:t>
      </w:r>
      <w:r>
        <w:rPr>
          <w:b/>
          <w:bCs/>
        </w:rPr>
        <w:t>1,665,300</w:t>
      </w:r>
      <w:r>
        <w:rPr/>
        <w:t xml:space="preserve"> (TRL/$); Consensus forecast: 1,406,254</w:t>
      </w:r>
    </w:p>
    <w:p>
      <w:pPr>
        <w:pStyle w:val="Normal"/>
        <w:numPr>
          <w:ilvl w:val="0"/>
          <w:numId w:val="3"/>
        </w:numPr>
        <w:rPr/>
      </w:pPr>
      <w:r>
        <w:rPr/>
        <w:t>6/19/2002 forward: 2,130,000 (TRL/$); Consensus forecast: 1,706,675</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 ARABIC </w:instrText>
    </w:r>
    <w:r>
      <w:rPr>
        <w:rStyle w:val="PageNumber"/>
        <w:sz w:val="20"/>
      </w:rPr>
      <w:fldChar w:fldCharType="separate"/>
    </w:r>
    <w:r>
      <w:rPr>
        <w:rStyle w:val="PageNumber"/>
        <w:sz w:val="20"/>
      </w:rPr>
      <w:t>3</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left w:val="single" w:sz="4" w:space="4" w:color="000000"/>
        <w:bottom w:val="single" w:sz="4" w:space="1" w:color="000000"/>
        <w:right w:val="single" w:sz="4" w:space="4" w:color="000000"/>
      </w:pBdr>
      <w:jc w:val="center"/>
      <w:rPr>
        <w:sz w:val="28"/>
      </w:rPr>
    </w:pPr>
    <w:r>
      <w:rPr>
        <w:sz w:val="28"/>
      </w:rPr>
      <w:t>Country Risk Analysis – Turkey (June 2001)</w:t>
    </w:r>
  </w:p>
  <w:p>
    <w:pPr>
      <w:pStyle w:val="Header"/>
      <w:rPr>
        <w:sz w:val="28"/>
      </w:rPr>
    </w:pPr>
    <w:r>
      <w:rPr>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720"/>
        </w:tabs>
        <w:ind w:start="720" w:hanging="360"/>
      </w:pPr>
      <w:rPr>
        <w:rFonts w:ascii="Wingdings" w:hAnsi="Wingdings" w:cs="Wingdings" w:hint="default"/>
        <w:sz w:val="16"/>
      </w:rPr>
    </w:lvl>
  </w:abstractNum>
  <w:abstractNum w:abstractNumId="4">
    <w:lvl w:ilvl="0">
      <w:start w:val="1"/>
      <w:numFmt w:val="bullet"/>
      <w:lvlText w:val=""/>
      <w:lvlJc w:val="start"/>
      <w:pPr>
        <w:tabs>
          <w:tab w:val="num" w:pos="1080"/>
        </w:tabs>
        <w:ind w:start="1080" w:hanging="360"/>
      </w:pPr>
      <w:rPr>
        <w:rFonts w:ascii="Wingdings" w:hAnsi="Wingdings" w:cs="Wingdings" w:hint="default"/>
        <w:sz w:val="16"/>
      </w:rPr>
    </w:lvl>
  </w:abstractNum>
  <w:abstractNum w:abstractNumId="5">
    <w:lvl w:ilvl="0">
      <w:start w:val="1"/>
      <w:numFmt w:val="bullet"/>
      <w:lvlText w:val=""/>
      <w:lvlJc w:val="start"/>
      <w:pPr>
        <w:tabs>
          <w:tab w:val="num" w:pos="1080"/>
        </w:tabs>
        <w:ind w:start="1080" w:hanging="360"/>
      </w:pPr>
      <w:rPr>
        <w:rFonts w:ascii="Wingdings" w:hAnsi="Wingdings" w:cs="Wingdings" w:hint="default"/>
        <w:sz w:val="16"/>
      </w:rPr>
    </w:lvl>
  </w:abstractNum>
  <w:abstractNum w:abstractNumId="6">
    <w:lvl w:ilvl="0">
      <w:start w:val="1"/>
      <w:numFmt w:val="bullet"/>
      <w:lvlText w:val=""/>
      <w:lvlJc w:val="start"/>
      <w:pPr>
        <w:tabs>
          <w:tab w:val="num" w:pos="1080"/>
        </w:tabs>
        <w:ind w:start="108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rPr>
  </w:style>
  <w:style w:type="paragraph" w:styleId="Heading2">
    <w:name w:val="heading 2"/>
    <w:basedOn w:val="Normal"/>
    <w:next w:val="Normal"/>
    <w:qFormat/>
    <w:pPr>
      <w:keepNext w:val="true"/>
      <w:numPr>
        <w:ilvl w:val="1"/>
        <w:numId w:val="1"/>
      </w:numPr>
      <w:outlineLvl w:val="1"/>
    </w:pPr>
    <w:rPr>
      <w:b/>
      <w:bCs/>
      <w:i/>
      <w:iCs/>
    </w:rPr>
  </w:style>
  <w:style w:type="character" w:styleId="WW8Num2z0">
    <w:name w:val="WW8Num2z0"/>
    <w:qFormat/>
    <w:rPr>
      <w:rFonts w:ascii="Wingdings" w:hAnsi="Wingdings" w:cs="Wingdings"/>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sz w:val="16"/>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2001-06-19T20:33:00Z</dcterms:created>
  <dc:creator>gkoepke</dc:creator>
  <dc:description/>
  <dc:language>en-CA</dc:language>
  <cp:lastModifiedBy>gkoepke</cp:lastModifiedBy>
  <cp:lastPrinted>2001-06-21T15:52:00Z</cp:lastPrinted>
  <dcterms:modified xsi:type="dcterms:W3CDTF">2001-06-21T20:27:00Z</dcterms:modified>
  <cp:revision>10</cp:revision>
  <dc:subject/>
  <dc:title>Country Risk Analysis – Turkey (June 2001)</dc:title>
</cp:coreProperties>
</file>