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widowControl/>
        <w:bidi w:val="0"/>
        <w:spacing w:lineRule="atLeast" w:line="600" w:before="140" w:after="540"/>
        <w:ind w:hanging="0" w:start="840" w:end="0"/>
        <w:rPr/>
      </w:pPr>
      <w:bookmarkStart w:id="0" w:name="xgraphic"/>
      <w:r>
        <w:rPr>
          <w:rFonts w:eastAsia="Arial" w:cs="Arial" w:ascii="Arial" w:hAnsi="Arial"/>
          <w:b/>
          <w:sz w:val="24"/>
        </w:rPr>
        <w:t xml:space="preserve"> </w:t>
      </w:r>
      <w:r>
        <w:rPr>
          <w:rFonts w:cs="Arial" w:ascii="Arial" w:hAnsi="Arial"/>
          <w:b/>
          <w:sz w:val="24"/>
        </w:rPr>
        <w:drawing>
          <wp:inline distT="0" distB="0" distL="0" distR="0">
            <wp:extent cx="1243330" cy="12376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43330" cy="1237615"/>
                    </a:xfrm>
                    <a:prstGeom prst="rect">
                      <a:avLst/>
                    </a:prstGeom>
                    <a:noFill/>
                  </pic:spPr>
                </pic:pic>
              </a:graphicData>
            </a:graphic>
          </wp:inline>
        </w:drawing>
      </w:r>
      <w:bookmarkEnd w:id="0"/>
      <w:r>
        <w:rPr>
          <w:rFonts w:cs="Arial" w:ascii="Arial" w:hAnsi="Arial"/>
        </w:rPr>
        <w:t>Memorandum</w:t>
      </w:r>
    </w:p>
    <w:p>
      <w:pPr>
        <w:pStyle w:val="MessageHeaderFirst"/>
        <w:rPr/>
      </w:pPr>
      <w:r>
        <w:rPr>
          <w:rStyle w:val="MessageHeaderLabel"/>
          <w:spacing w:val="-20"/>
          <w:sz w:val="22"/>
        </w:rPr>
        <w:t>T</w:t>
      </w:r>
      <w:r>
        <w:rPr>
          <w:rStyle w:val="MessageHeaderLabel"/>
          <w:sz w:val="22"/>
        </w:rPr>
        <w:t>o:</w:t>
      </w:r>
      <w:r>
        <w:rPr>
          <w:rFonts w:cs="Arial" w:ascii="Arial" w:hAnsi="Arial"/>
          <w:sz w:val="22"/>
        </w:rPr>
        <w:tab/>
        <w:t>Louise Kitchen</w:t>
        <w:tab/>
      </w:r>
    </w:p>
    <w:p>
      <w:pPr>
        <w:pStyle w:val="MessageHeader"/>
        <w:rPr/>
      </w:pPr>
      <w:r>
        <w:rPr>
          <w:rStyle w:val="MessageHeaderLabel"/>
          <w:rFonts w:cs="Arial"/>
          <w:sz w:val="22"/>
        </w:rPr>
        <w:t>From:</w:t>
      </w:r>
      <w:r>
        <w:rPr>
          <w:rFonts w:cs="Arial" w:ascii="Arial" w:hAnsi="Arial"/>
          <w:sz w:val="22"/>
        </w:rPr>
        <w:tab/>
        <w:t>Chris Calger, Ben Jacoby, Brett Wiggs</w:t>
      </w:r>
      <w:r>
        <w:rPr>
          <w:rStyle w:val="MessageHeaderLabel"/>
          <w:rFonts w:cs="Arial"/>
          <w:sz w:val="22"/>
        </w:rPr>
        <w:tab/>
      </w:r>
      <w:r>
        <w:rPr>
          <w:rFonts w:cs="Arial" w:ascii="Arial" w:hAnsi="Arial"/>
          <w:sz w:val="22"/>
        </w:rPr>
        <w:t xml:space="preserve"> </w:t>
      </w:r>
    </w:p>
    <w:p>
      <w:pPr>
        <w:pStyle w:val="MessageHeader"/>
        <w:rPr/>
      </w:pPr>
      <w:r>
        <w:rPr>
          <w:rStyle w:val="MessageHeaderLabel"/>
          <w:rFonts w:cs="Arial"/>
          <w:sz w:val="22"/>
        </w:rPr>
        <w:t>Date:</w:t>
      </w:r>
      <w:r>
        <w:rPr>
          <w:rFonts w:cs="Arial" w:ascii="Arial" w:hAnsi="Arial"/>
          <w:sz w:val="22"/>
        </w:rPr>
        <w:tab/>
        <w:t>July 5, 2001</w:t>
      </w:r>
    </w:p>
    <w:p>
      <w:pPr>
        <w:pStyle w:val="MessageHeaderLast"/>
        <w:rPr/>
      </w:pPr>
      <w:r>
        <w:rPr>
          <w:rStyle w:val="MessageHeaderLabel"/>
          <w:rFonts w:cs="Arial"/>
          <w:sz w:val="22"/>
        </w:rPr>
        <w:t>Re:</w:t>
      </w:r>
      <w:r>
        <w:rPr>
          <w:rFonts w:cs="Arial" w:ascii="Arial" w:hAnsi="Arial"/>
          <w:sz w:val="22"/>
        </w:rPr>
        <w:tab/>
        <w:t>Enron Americas Turbine Book (“Turbine Book”)</w:t>
        <w:tab/>
        <w:tab/>
        <w:tab/>
        <w:tab/>
      </w:r>
    </w:p>
    <w:p>
      <w:pPr>
        <w:pStyle w:val="Normal"/>
        <w:ind w:start="720" w:end="0"/>
        <w:rPr>
          <w:rFonts w:ascii="Arial" w:hAnsi="Arial" w:cs="Arial"/>
        </w:rPr>
      </w:pPr>
      <w:r>
        <w:rPr>
          <w:rFonts w:cs="Arial" w:ascii="Arial" w:hAnsi="Arial"/>
        </w:rPr>
        <w:t>The following describes our understanding and agreement with respect to the Turbine Book.  If necessary, we are prepared to discuss at your convenience.</w:t>
      </w:r>
    </w:p>
    <w:p>
      <w:pPr>
        <w:pStyle w:val="Normal"/>
        <w:rPr>
          <w:rFonts w:ascii="Arial" w:hAnsi="Arial" w:cs="Arial"/>
        </w:rPr>
      </w:pPr>
      <w:r>
        <w:rPr>
          <w:rFonts w:cs="Arial" w:ascii="Arial" w:hAnsi="Arial"/>
        </w:rPr>
      </w:r>
    </w:p>
    <w:p>
      <w:pPr>
        <w:pStyle w:val="Normal"/>
        <w:jc w:val="both"/>
        <w:rPr>
          <w:rFonts w:ascii="Arial" w:hAnsi="Arial" w:cs="Arial"/>
          <w:b/>
          <w:bCs/>
          <w:u w:val="single"/>
        </w:rPr>
      </w:pPr>
      <w:r>
        <w:rPr>
          <w:rFonts w:cs="Arial" w:ascii="Arial" w:hAnsi="Arial"/>
          <w:b/>
          <w:bCs/>
          <w:u w:val="single"/>
        </w:rPr>
        <w:t>Ownership:</w:t>
      </w:r>
    </w:p>
    <w:p>
      <w:pPr>
        <w:pStyle w:val="Normal"/>
        <w:numPr>
          <w:ilvl w:val="0"/>
          <w:numId w:val="2"/>
        </w:numPr>
        <w:tabs>
          <w:tab w:val="clear" w:pos="720"/>
          <w:tab w:val="left" w:pos="1325" w:leader="none"/>
        </w:tabs>
        <w:ind w:hanging="360" w:start="1325" w:end="0"/>
        <w:rPr>
          <w:rFonts w:ascii="Arial" w:hAnsi="Arial" w:cs="Arial"/>
        </w:rPr>
      </w:pPr>
      <w:r>
        <w:rPr>
          <w:rFonts w:cs="Arial" w:ascii="Arial" w:hAnsi="Arial"/>
        </w:rPr>
        <w:t>Chris Calger, West Power Origination</w:t>
      </w:r>
    </w:p>
    <w:p>
      <w:pPr>
        <w:pStyle w:val="Normal"/>
        <w:numPr>
          <w:ilvl w:val="0"/>
          <w:numId w:val="2"/>
        </w:numPr>
        <w:tabs>
          <w:tab w:val="clear" w:pos="720"/>
          <w:tab w:val="left" w:pos="1325" w:leader="none"/>
        </w:tabs>
        <w:ind w:hanging="360" w:start="1325" w:end="0"/>
        <w:rPr>
          <w:rFonts w:ascii="Arial" w:hAnsi="Arial" w:cs="Arial"/>
        </w:rPr>
      </w:pPr>
      <w:r>
        <w:rPr>
          <w:rFonts w:cs="Arial" w:ascii="Arial" w:hAnsi="Arial"/>
        </w:rPr>
        <w:t>Ben Jacoby, East Power Development</w:t>
      </w:r>
    </w:p>
    <w:p>
      <w:pPr>
        <w:pStyle w:val="Normal"/>
        <w:numPr>
          <w:ilvl w:val="0"/>
          <w:numId w:val="2"/>
        </w:numPr>
        <w:tabs>
          <w:tab w:val="clear" w:pos="720"/>
          <w:tab w:val="left" w:pos="1325" w:leader="none"/>
        </w:tabs>
        <w:ind w:hanging="360" w:start="1325" w:end="0"/>
        <w:rPr>
          <w:rFonts w:ascii="Arial" w:hAnsi="Arial" w:cs="Arial"/>
        </w:rPr>
      </w:pPr>
      <w:r>
        <w:rPr>
          <w:rFonts w:cs="Arial" w:ascii="Arial" w:hAnsi="Arial"/>
        </w:rPr>
        <w:t>Brett Wiggs, South America</w:t>
      </w:r>
    </w:p>
    <w:p>
      <w:pPr>
        <w:pStyle w:val="Normal"/>
        <w:ind w:start="1440" w:end="0"/>
        <w:rPr>
          <w:rFonts w:ascii="Arial" w:hAnsi="Arial" w:cs="Arial"/>
        </w:rPr>
      </w:pPr>
      <w:r>
        <w:rPr>
          <w:rFonts w:cs="Arial" w:ascii="Arial" w:hAnsi="Arial"/>
        </w:rPr>
      </w:r>
    </w:p>
    <w:p>
      <w:pPr>
        <w:pStyle w:val="Normal"/>
        <w:tabs>
          <w:tab w:val="clear" w:pos="720"/>
          <w:tab w:val="left" w:pos="700" w:leader="none"/>
        </w:tabs>
        <w:ind w:firstLine="555" w:start="245" w:end="0"/>
        <w:rPr>
          <w:rFonts w:ascii="Arial" w:hAnsi="Arial" w:cs="Arial"/>
          <w:b/>
          <w:bCs/>
          <w:u w:val="single"/>
        </w:rPr>
      </w:pPr>
      <w:r>
        <w:rPr>
          <w:rFonts w:cs="Arial" w:ascii="Arial" w:hAnsi="Arial"/>
          <w:b/>
          <w:bCs/>
          <w:u w:val="single"/>
        </w:rPr>
        <w:t>Scope:</w:t>
      </w:r>
    </w:p>
    <w:p>
      <w:pPr>
        <w:pStyle w:val="Normal"/>
        <w:numPr>
          <w:ilvl w:val="0"/>
          <w:numId w:val="5"/>
        </w:numPr>
        <w:tabs>
          <w:tab w:val="clear" w:pos="720"/>
          <w:tab w:val="left" w:pos="1325" w:leader="none"/>
        </w:tabs>
        <w:ind w:hanging="360" w:start="1325" w:end="0"/>
        <w:rPr>
          <w:rFonts w:ascii="Arial" w:hAnsi="Arial" w:cs="Arial"/>
        </w:rPr>
      </w:pPr>
      <w:r>
        <w:rPr>
          <w:rFonts w:cs="Arial" w:ascii="Arial" w:hAnsi="Arial"/>
        </w:rPr>
        <w:t>All turbines and related equipment (“Turbines”) under the control of Enron Americas</w:t>
      </w:r>
    </w:p>
    <w:p>
      <w:pPr>
        <w:pStyle w:val="Normal"/>
        <w:ind w:start="1440" w:end="0"/>
        <w:rPr>
          <w:rFonts w:ascii="Arial" w:hAnsi="Arial" w:cs="Arial"/>
        </w:rPr>
      </w:pPr>
      <w:r>
        <w:rPr>
          <w:rFonts w:cs="Arial" w:ascii="Arial" w:hAnsi="Arial"/>
        </w:rPr>
      </w:r>
    </w:p>
    <w:p>
      <w:pPr>
        <w:pStyle w:val="Normal"/>
        <w:ind w:start="800" w:end="0"/>
        <w:rPr>
          <w:rFonts w:ascii="Arial" w:hAnsi="Arial" w:cs="Arial"/>
          <w:b/>
          <w:bCs/>
          <w:u w:val="single"/>
        </w:rPr>
      </w:pPr>
      <w:r>
        <w:rPr>
          <w:rFonts w:cs="Arial" w:ascii="Arial" w:hAnsi="Arial"/>
          <w:b/>
          <w:bCs/>
          <w:u w:val="single"/>
        </w:rPr>
        <w:t>Carrying Cost/Gain Recognition:</w:t>
      </w:r>
    </w:p>
    <w:p>
      <w:pPr>
        <w:pStyle w:val="Normal"/>
        <w:numPr>
          <w:ilvl w:val="0"/>
          <w:numId w:val="4"/>
        </w:numPr>
        <w:tabs>
          <w:tab w:val="clear" w:pos="720"/>
          <w:tab w:val="left" w:pos="1325" w:leader="none"/>
        </w:tabs>
        <w:ind w:hanging="360" w:start="1325" w:end="0"/>
        <w:rPr>
          <w:rFonts w:ascii="Arial" w:hAnsi="Arial" w:cs="Arial"/>
        </w:rPr>
      </w:pPr>
      <w:r>
        <w:rPr>
          <w:rFonts w:cs="Arial" w:ascii="Arial" w:hAnsi="Arial"/>
        </w:rPr>
        <w:t>Turbines are carried at the lower of cost or market</w:t>
      </w:r>
    </w:p>
    <w:p>
      <w:pPr>
        <w:pStyle w:val="Normal"/>
        <w:numPr>
          <w:ilvl w:val="0"/>
          <w:numId w:val="4"/>
        </w:numPr>
        <w:tabs>
          <w:tab w:val="clear" w:pos="720"/>
          <w:tab w:val="left" w:pos="1325" w:leader="none"/>
        </w:tabs>
        <w:ind w:hanging="360" w:start="1325" w:end="0"/>
        <w:rPr>
          <w:rFonts w:ascii="Arial" w:hAnsi="Arial" w:cs="Arial"/>
        </w:rPr>
      </w:pPr>
      <w:r>
        <w:rPr>
          <w:rFonts w:cs="Arial" w:ascii="Arial" w:hAnsi="Arial"/>
        </w:rPr>
        <w:t>Each owner has a 33% interest in the Turbine Book</w:t>
      </w:r>
    </w:p>
    <w:p>
      <w:pPr>
        <w:pStyle w:val="Normal"/>
        <w:numPr>
          <w:ilvl w:val="0"/>
          <w:numId w:val="4"/>
        </w:numPr>
        <w:tabs>
          <w:tab w:val="clear" w:pos="720"/>
          <w:tab w:val="left" w:pos="1325" w:leader="none"/>
        </w:tabs>
        <w:ind w:hanging="360" w:start="1325" w:end="0"/>
        <w:rPr>
          <w:rFonts w:ascii="Arial" w:hAnsi="Arial" w:cs="Arial"/>
        </w:rPr>
      </w:pPr>
      <w:r>
        <w:rPr>
          <w:rFonts w:cs="Arial" w:ascii="Arial" w:hAnsi="Arial"/>
        </w:rPr>
        <w:t>Gains, losses and carrying charges are split evenly by the owners subject to provisions for Allocated Turbines (see below).</w:t>
      </w:r>
    </w:p>
    <w:p>
      <w:pPr>
        <w:pStyle w:val="Normal"/>
        <w:ind w:start="1440" w:end="0"/>
        <w:rPr>
          <w:rFonts w:ascii="Arial" w:hAnsi="Arial" w:cs="Arial"/>
        </w:rPr>
      </w:pPr>
      <w:r>
        <w:rPr>
          <w:rFonts w:cs="Arial" w:ascii="Arial" w:hAnsi="Arial"/>
        </w:rPr>
      </w:r>
    </w:p>
    <w:p>
      <w:pPr>
        <w:pStyle w:val="Normal"/>
        <w:rPr>
          <w:rFonts w:ascii="Arial" w:hAnsi="Arial" w:cs="Arial"/>
          <w:b/>
          <w:bCs/>
          <w:u w:val="single"/>
        </w:rPr>
      </w:pPr>
      <w:r>
        <w:rPr>
          <w:rFonts w:cs="Arial" w:ascii="Arial" w:hAnsi="Arial"/>
          <w:b/>
          <w:bCs/>
          <w:u w:val="single"/>
        </w:rPr>
        <w:t>Allocation:</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Turbines within the Turbine Book are either Allocated or Available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Each owner’s business unit is able to market or place any of the Available Turbines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Interest and other carrying charges on Available Turbines are split evenly by the owners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Any owner can allocate a Turbine to a specific project to enable its business unit to execute deal agreements, finalize development, etc.</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Interest and other carrying charges on Allocated turbines are paid by the business unit reserving the Turbine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 xml:space="preserve">Turbines transferred from Available to Allocated that get closed will be transferred at the market price (if the owners can not agree on market price, the price shall be cost) </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Any owner can transfer a turbine from Allocated to Available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Transfer price shall be cost</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For clarity, carrying charges are paid by the business unit when Allocated, split evenly when Available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Transfer price for Steam Turbine shall be $1 MM.</w:t>
      </w:r>
    </w:p>
    <w:p>
      <w:pPr>
        <w:pStyle w:val="Normal"/>
        <w:rPr>
          <w:rFonts w:ascii="Arial" w:hAnsi="Arial" w:cs="Arial"/>
        </w:rPr>
      </w:pPr>
      <w:r>
        <w:rPr>
          <w:rFonts w:cs="Arial" w:ascii="Arial" w:hAnsi="Arial"/>
        </w:rPr>
      </w:r>
    </w:p>
    <w:p>
      <w:pPr>
        <w:pStyle w:val="Normal"/>
        <w:ind w:start="360" w:end="0"/>
        <w:rPr>
          <w:rFonts w:ascii="Arial" w:hAnsi="Arial" w:cs="Arial"/>
          <w:b/>
          <w:bCs/>
          <w:u w:val="single"/>
        </w:rPr>
      </w:pPr>
      <w:r>
        <w:rPr>
          <w:rFonts w:cs="Arial" w:ascii="Arial" w:hAnsi="Arial"/>
          <w:b/>
          <w:bCs/>
          <w:u w:val="single"/>
        </w:rPr>
        <w:t>Dispute Resolution:</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EA Office of the Chair</w:t>
      </w:r>
    </w:p>
    <w:p>
      <w:pPr>
        <w:pStyle w:val="Normal"/>
        <w:rPr>
          <w:rFonts w:ascii="Arial" w:hAnsi="Arial" w:cs="Arial"/>
        </w:rPr>
      </w:pPr>
      <w:r>
        <w:rPr>
          <w:rFonts w:cs="Arial" w:ascii="Arial" w:hAnsi="Arial"/>
        </w:rPr>
      </w:r>
    </w:p>
    <w:p>
      <w:pPr>
        <w:pStyle w:val="Normal"/>
        <w:ind w:firstLine="360" w:start="0" w:end="0"/>
        <w:rPr>
          <w:rFonts w:ascii="Arial" w:hAnsi="Arial" w:cs="Arial"/>
          <w:b/>
          <w:bCs/>
          <w:u w:val="single"/>
        </w:rPr>
      </w:pPr>
      <w:r>
        <w:rPr>
          <w:rFonts w:cs="Arial" w:ascii="Arial" w:hAnsi="Arial"/>
          <w:b/>
          <w:bCs/>
          <w:u w:val="single"/>
        </w:rPr>
        <w:t>Turbine Book Objectives: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Centralize the management of EA’s Turbine positions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 xml:space="preserve">Manage price, market and technical risk associated with Turbines   </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Monetize existing Turbine position at highest risk-adjusted value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Ensure merchant business has access to Turbines for origination and development opportunities</w:t>
      </w:r>
    </w:p>
    <w:p>
      <w:pPr>
        <w:pStyle w:val="Normal"/>
        <w:rPr>
          <w:rFonts w:ascii="Arial" w:hAnsi="Arial" w:cs="Arial"/>
        </w:rPr>
      </w:pPr>
      <w:r>
        <w:rPr>
          <w:rFonts w:cs="Arial" w:ascii="Arial" w:hAnsi="Arial"/>
        </w:rPr>
      </w:r>
    </w:p>
    <w:p>
      <w:pPr>
        <w:pStyle w:val="Normal"/>
        <w:ind w:firstLine="360" w:start="0" w:end="0"/>
        <w:rPr>
          <w:rFonts w:ascii="Arial" w:hAnsi="Arial" w:cs="Arial"/>
          <w:b/>
          <w:bCs/>
          <w:u w:val="single"/>
        </w:rPr>
      </w:pPr>
      <w:r>
        <w:rPr>
          <w:rFonts w:cs="Arial" w:ascii="Arial" w:hAnsi="Arial"/>
          <w:b/>
          <w:bCs/>
          <w:u w:val="single"/>
        </w:rPr>
        <w:t>General Strategy:</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Assign responsibility to technical, legal and commercial personnel for each Turbine</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Maintain legal and technical information at each owner’s business unit</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Integrate Turbine Book accounting and reporting into owner’s P&amp;L and RAC Turbine Book</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Identify plan for each Turbine with appropriate milestones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Utilize multiple distribution channels to market or place Turbines – brokers, originators, developers</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Motivate Enron personnel to focus on Turbine Book Objectives – think globally, act locally.</w:t>
      </w:r>
    </w:p>
    <w:p>
      <w:pPr>
        <w:pStyle w:val="Normal"/>
        <w:numPr>
          <w:ilvl w:val="0"/>
          <w:numId w:val="3"/>
        </w:numPr>
        <w:tabs>
          <w:tab w:val="clear" w:pos="720"/>
          <w:tab w:val="left" w:pos="1325" w:leader="none"/>
        </w:tabs>
        <w:ind w:hanging="360" w:start="1325" w:end="0"/>
        <w:rPr>
          <w:rFonts w:ascii="Arial" w:hAnsi="Arial" w:cs="Arial"/>
        </w:rPr>
      </w:pPr>
      <w:r>
        <w:rPr>
          <w:rFonts w:cs="Arial" w:ascii="Arial" w:hAnsi="Arial"/>
        </w:rPr>
        <w:t>Measure and report progress monthly</w:t>
      </w:r>
    </w:p>
    <w:p>
      <w:pPr>
        <w:pStyle w:val="Normal"/>
        <w:ind w:start="0" w:end="0"/>
        <w:rPr>
          <w:rFonts w:ascii="Arial" w:hAnsi="Arial" w:cs="Arial"/>
        </w:rPr>
      </w:pPr>
      <w:r>
        <w:rPr>
          <w:rFonts w:cs="Arial" w:ascii="Arial" w:hAnsi="Arial"/>
        </w:rPr>
      </w:r>
    </w:p>
    <w:p>
      <w:pPr>
        <w:pStyle w:val="Normal"/>
        <w:tabs>
          <w:tab w:val="clear" w:pos="720"/>
          <w:tab w:val="left" w:pos="400" w:leader="none"/>
        </w:tabs>
        <w:ind w:start="0" w:end="0"/>
        <w:rPr/>
      </w:pPr>
      <w:r>
        <w:rPr>
          <w:rFonts w:cs="Arial" w:ascii="Arial" w:hAnsi="Arial"/>
        </w:rPr>
        <w:tab/>
      </w:r>
      <w:r>
        <w:rPr>
          <w:rFonts w:cs="Arial" w:ascii="Arial" w:hAnsi="Arial"/>
          <w:b/>
          <w:bCs/>
          <w:u w:val="single"/>
        </w:rPr>
        <w:t>Turbine Summary:</w:t>
      </w:r>
    </w:p>
    <w:p>
      <w:pPr>
        <w:pStyle w:val="Normal"/>
        <w:rPr>
          <w:rFonts w:ascii="Arial" w:hAnsi="Arial" w:cs="Arial"/>
          <w:b/>
          <w:bCs/>
          <w:u w:val="single"/>
        </w:rPr>
      </w:pPr>
      <w:r>
        <w:rPr>
          <w:rFonts w:cs="Arial" w:ascii="Arial" w:hAnsi="Arial"/>
          <w:b/>
          <w:bCs/>
          <w:u w:val="single"/>
        </w:rPr>
      </w:r>
    </w:p>
    <w:tbl>
      <w:tblPr>
        <w:tblW w:w="8381" w:type="dxa"/>
        <w:jc w:val="start"/>
        <w:tblInd w:w="835" w:type="dxa"/>
        <w:tblLayout w:type="fixed"/>
        <w:tblCellMar>
          <w:top w:w="0" w:type="dxa"/>
          <w:start w:w="108" w:type="dxa"/>
          <w:bottom w:w="0" w:type="dxa"/>
          <w:end w:w="108" w:type="dxa"/>
        </w:tblCellMar>
      </w:tblPr>
      <w:tblGrid>
        <w:gridCol w:w="1689"/>
        <w:gridCol w:w="1612"/>
        <w:gridCol w:w="1753"/>
        <w:gridCol w:w="1669"/>
        <w:gridCol w:w="1658"/>
      </w:tblGrid>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u w:val="single"/>
              </w:rPr>
            </w:pPr>
            <w:r>
              <w:rPr>
                <w:rFonts w:cs="Arial" w:ascii="Arial" w:hAnsi="Arial"/>
                <w:b/>
                <w:bCs/>
                <w:u w:val="single"/>
              </w:rPr>
              <w:t>Model</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u w:val="single"/>
              </w:rPr>
            </w:pPr>
            <w:r>
              <w:rPr>
                <w:rFonts w:cs="Arial" w:ascii="Arial" w:hAnsi="Arial"/>
                <w:b/>
                <w:bCs/>
                <w:u w:val="single"/>
              </w:rPr>
              <w:t>Units</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u w:val="single"/>
              </w:rPr>
            </w:pPr>
            <w:r>
              <w:rPr>
                <w:rFonts w:cs="Arial" w:ascii="Arial" w:hAnsi="Arial"/>
                <w:b/>
                <w:bCs/>
                <w:u w:val="single"/>
              </w:rPr>
              <w:t>Allocation</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u w:val="single"/>
              </w:rPr>
            </w:pPr>
            <w:r>
              <w:rPr>
                <w:rFonts w:cs="Arial" w:ascii="Arial" w:hAnsi="Arial"/>
                <w:b/>
                <w:bCs/>
                <w:u w:val="single"/>
              </w:rPr>
              <w:t xml:space="preserve">Delivery </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u w:val="single"/>
              </w:rPr>
            </w:pPr>
            <w:r>
              <w:rPr>
                <w:rFonts w:cs="Arial" w:ascii="Arial" w:hAnsi="Arial"/>
                <w:b/>
                <w:bCs/>
                <w:u w:val="single"/>
              </w:rPr>
              <w:t>Cost</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ABB11N1</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2</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Available</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Now</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$30.0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501D5A</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Available</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Now</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$28.0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MH1501F</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Ft. Pierce</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Now</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$43.6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MH1501F</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3</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Riogen</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9/01 – 5/02</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$117.3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7EA *</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2</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Northwestern</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Now</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$40.0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7FA</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Longview</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12/02</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$40.0 MM</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Steam Turbine</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Available</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 xml:space="preserve">Now </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$0.0</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jc w:val="end"/>
              <w:rPr>
                <w:rFonts w:ascii="Arial" w:hAnsi="Arial" w:cs="Arial"/>
                <w:b/>
                <w:bCs/>
              </w:rPr>
            </w:pPr>
            <w:r>
              <w:rPr>
                <w:rFonts w:cs="Arial" w:ascii="Arial" w:hAnsi="Arial"/>
                <w:b/>
                <w:bCs/>
              </w:rPr>
              <w:t>Total:</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rPr>
            </w:pPr>
            <w:r>
              <w:rPr>
                <w:rFonts w:cs="Arial" w:ascii="Arial" w:hAnsi="Arial"/>
                <w:b/>
                <w:bCs/>
              </w:rPr>
              <w:t>11</w:t>
            </w:r>
          </w:p>
        </w:tc>
        <w:tc>
          <w:tcPr>
            <w:tcW w:w="1753"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rFonts w:ascii="Arial" w:hAnsi="Arial" w:cs="Arial"/>
                <w:b/>
                <w:bCs/>
              </w:rPr>
            </w:pPr>
            <w:r>
              <w:rPr>
                <w:rFonts w:cs="Arial" w:ascii="Arial" w:hAnsi="Arial"/>
                <w:b/>
                <w:bCs/>
              </w:rPr>
            </w:r>
          </w:p>
        </w:tc>
        <w:tc>
          <w:tcPr>
            <w:tcW w:w="1669" w:type="dxa"/>
            <w:tcBorders>
              <w:top w:val="single" w:sz="4" w:space="0" w:color="000000"/>
              <w:start w:val="single" w:sz="4" w:space="0" w:color="000000"/>
              <w:bottom w:val="single" w:sz="4" w:space="0" w:color="000000"/>
              <w:end w:val="single" w:sz="4" w:space="0" w:color="000000"/>
            </w:tcBorders>
          </w:tcPr>
          <w:p>
            <w:pPr>
              <w:pStyle w:val="Normal"/>
              <w:snapToGrid w:val="false"/>
              <w:ind w:start="0" w:end="0"/>
              <w:rPr>
                <w:rFonts w:ascii="Arial" w:hAnsi="Arial" w:cs="Arial"/>
                <w:b/>
                <w:bCs/>
              </w:rPr>
            </w:pPr>
            <w:r>
              <w:rPr>
                <w:rFonts w:cs="Arial" w:ascii="Arial" w:hAnsi="Arial"/>
                <w:b/>
                <w:bCs/>
              </w:rPr>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b/>
                <w:bCs/>
              </w:rPr>
            </w:pPr>
            <w:r>
              <w:rPr>
                <w:rFonts w:cs="Arial" w:ascii="Arial" w:hAnsi="Arial"/>
                <w:b/>
                <w:bCs/>
              </w:rPr>
              <w:t>$298.90</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7FA - Sythe</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3</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Evaluation</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2001</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$120.00</w:t>
            </w:r>
          </w:p>
        </w:tc>
      </w:tr>
      <w:tr>
        <w:trPr/>
        <w:tc>
          <w:tcPr>
            <w:tcW w:w="168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LM6000 - PGE</w:t>
            </w:r>
          </w:p>
        </w:tc>
        <w:tc>
          <w:tcPr>
            <w:tcW w:w="1612"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w:t>
            </w:r>
          </w:p>
        </w:tc>
        <w:tc>
          <w:tcPr>
            <w:tcW w:w="1753"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Evaluation</w:t>
            </w:r>
          </w:p>
        </w:tc>
        <w:tc>
          <w:tcPr>
            <w:tcW w:w="1669"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2001</w:t>
            </w:r>
          </w:p>
        </w:tc>
        <w:tc>
          <w:tcPr>
            <w:tcW w:w="1658" w:type="dxa"/>
            <w:tcBorders>
              <w:top w:val="single" w:sz="4" w:space="0" w:color="000000"/>
              <w:start w:val="single" w:sz="4" w:space="0" w:color="000000"/>
              <w:bottom w:val="single" w:sz="4" w:space="0" w:color="000000"/>
              <w:end w:val="single" w:sz="4" w:space="0" w:color="000000"/>
            </w:tcBorders>
          </w:tcPr>
          <w:p>
            <w:pPr>
              <w:pStyle w:val="Normal"/>
              <w:ind w:start="0" w:end="0"/>
              <w:rPr>
                <w:rFonts w:ascii="Arial" w:hAnsi="Arial" w:cs="Arial"/>
              </w:rPr>
            </w:pPr>
            <w:r>
              <w:rPr>
                <w:rFonts w:cs="Arial" w:ascii="Arial" w:hAnsi="Arial"/>
              </w:rPr>
              <w:t>$16.5 MM</w:t>
            </w:r>
          </w:p>
        </w:tc>
      </w:tr>
    </w:tbl>
    <w:p>
      <w:pPr>
        <w:pStyle w:val="Normal"/>
        <w:rPr>
          <w:rFonts w:ascii="Arial" w:hAnsi="Arial" w:cs="Arial"/>
          <w:b/>
          <w:bCs/>
          <w:u w:val="single"/>
        </w:rPr>
      </w:pPr>
      <w:r>
        <w:rPr>
          <w:rFonts w:cs="Arial" w:ascii="Arial" w:hAnsi="Arial"/>
          <w:b/>
          <w:bCs/>
          <w:u w:val="single"/>
        </w:rPr>
      </w:r>
    </w:p>
    <w:p>
      <w:pPr>
        <w:pStyle w:val="Enclosure"/>
        <w:keepLines w:val="false"/>
        <w:spacing w:lineRule="auto" w:line="240" w:before="0" w:after="0"/>
        <w:rPr>
          <w:rFonts w:ascii="Arial" w:hAnsi="Arial" w:cs="Arial"/>
        </w:rPr>
      </w:pPr>
      <w:r>
        <w:rPr>
          <w:rFonts w:cs="Arial" w:ascii="Arial" w:hAnsi="Arial"/>
        </w:rPr>
        <w:t>* Under definitive purchase and sole agreement with Northwestern.</w:t>
      </w:r>
    </w:p>
    <w:p>
      <w:pPr>
        <w:pStyle w:val="Normal"/>
        <w:rPr>
          <w:rFonts w:ascii="Arial" w:hAnsi="Arial" w:cs="Arial"/>
          <w:b/>
          <w:bCs/>
        </w:rPr>
      </w:pPr>
      <w:r>
        <w:rPr>
          <w:rFonts w:cs="Arial" w:ascii="Arial" w:hAnsi="Arial"/>
          <w:b/>
          <w:bCs/>
        </w:rPr>
      </w:r>
    </w:p>
    <w:p>
      <w:pPr>
        <w:pStyle w:val="Normal"/>
        <w:tabs>
          <w:tab w:val="clear" w:pos="720"/>
          <w:tab w:val="left" w:pos="400" w:leader="none"/>
        </w:tabs>
        <w:ind w:start="0" w:end="0"/>
        <w:rPr/>
      </w:pPr>
      <w:r>
        <w:rPr>
          <w:rFonts w:cs="Arial" w:ascii="Arial" w:hAnsi="Arial"/>
          <w:b/>
          <w:bCs/>
        </w:rPr>
        <w:tab/>
      </w:r>
      <w:r>
        <w:rPr>
          <w:rFonts w:cs="Arial" w:ascii="Arial" w:hAnsi="Arial"/>
          <w:b/>
          <w:bCs/>
          <w:u w:val="single"/>
        </w:rPr>
        <w:t>Initial Plan/Status:</w:t>
      </w:r>
    </w:p>
    <w:p>
      <w:pPr>
        <w:pStyle w:val="Normal"/>
        <w:tabs>
          <w:tab w:val="clear" w:pos="720"/>
          <w:tab w:val="left" w:pos="400" w:leader="none"/>
        </w:tabs>
        <w:ind w:start="0" w:end="0"/>
        <w:rPr>
          <w:rFonts w:ascii="Arial" w:hAnsi="Arial" w:cs="Arial"/>
          <w:b/>
          <w:bCs/>
          <w:u w:val="single"/>
        </w:rPr>
      </w:pPr>
      <w:r>
        <w:rPr>
          <w:rFonts w:cs="Arial" w:ascii="Arial" w:hAnsi="Arial"/>
          <w:b/>
          <w:bCs/>
          <w:u w:val="single"/>
        </w:rPr>
      </w:r>
    </w:p>
    <w:p>
      <w:pPr>
        <w:pStyle w:val="Normal"/>
        <w:autoSpaceDE w:val="false"/>
        <w:spacing w:lineRule="atLeast" w:line="240"/>
        <w:ind w:firstLine="360" w:start="0" w:end="0"/>
        <w:rPr/>
      </w:pPr>
      <w:r>
        <w:rPr>
          <w:rFonts w:cs="Arial" w:ascii="Arial" w:hAnsi="Arial"/>
          <w:color w:val="000000"/>
          <w:u w:val="single"/>
        </w:rPr>
        <w:t>RioGen MH1501FMHI</w:t>
      </w:r>
      <w:r>
        <w:rPr>
          <w:rFonts w:cs="Arial" w:ascii="Arial" w:hAnsi="Arial"/>
          <w:color w:val="000000"/>
        </w:rPr>
        <w:t>:</w:t>
      </w:r>
    </w:p>
    <w:p>
      <w:pPr>
        <w:pStyle w:val="BodyTextIndent2"/>
        <w:rPr/>
      </w:pPr>
      <w:r>
        <w:rPr/>
        <w:t>Execute sale of RioGen site package with site, permits and three MHI turbines.  Will issue base term sheet with minimum amount we are willing to accept to three parties by 7/6/01 with requirement to respond within three weeks.  All parties have already completed initial due diligence on the project.  If not progressing satisfactorily within four weeks, change classification of turbines to Available.  Permit other sites for MH1 technology.</w:t>
      </w:r>
    </w:p>
    <w:p>
      <w:pPr>
        <w:pStyle w:val="Normal"/>
        <w:autoSpaceDE w:val="false"/>
        <w:ind w:start="0" w:end="0"/>
        <w:rPr/>
      </w:pPr>
      <w:r>
        <w:rPr>
          <w:rFonts w:cs="Arial" w:ascii="Arial" w:hAnsi="Arial"/>
          <w:u w:val="single"/>
        </w:rPr>
        <w:t>SW501D5A</w:t>
      </w:r>
      <w:r>
        <w:rPr>
          <w:rFonts w:cs="Arial" w:ascii="Arial" w:hAnsi="Arial"/>
        </w:rPr>
        <w:t>: Have received recent offers for the subject unit indicating a FMV of $29 - $30 million. Sale is somewhat complicated by status of the damaged generator as the insurance company has raised issues regarding payment of the claim, and SW is claiming risk of loss resided with Enron. Our current sales position is that any buyer taking the unit will have to step into our position as regards the damaged generator. This may have to be revisited in the next several weeks if we are not able to secure a buyer willing to take this position.  Engage new broker, Navigant Consulting, to hold auction.</w:t>
      </w:r>
    </w:p>
    <w:p>
      <w:pPr>
        <w:pStyle w:val="Normal"/>
        <w:autoSpaceDE w:val="false"/>
        <w:ind w:start="0" w:end="0"/>
        <w:rPr>
          <w:rFonts w:ascii="Arial" w:hAnsi="Arial" w:cs="Arial"/>
          <w:u w:val="single"/>
        </w:rPr>
      </w:pPr>
      <w:r>
        <w:rPr>
          <w:rFonts w:cs="Arial" w:ascii="Arial" w:hAnsi="Arial"/>
          <w:u w:val="single"/>
        </w:rPr>
      </w:r>
    </w:p>
    <w:p>
      <w:pPr>
        <w:pStyle w:val="Normal"/>
        <w:autoSpaceDE w:val="false"/>
        <w:ind w:start="0" w:end="0"/>
        <w:rPr/>
      </w:pPr>
      <w:r>
        <w:rPr>
          <w:rFonts w:cs="Arial" w:ascii="Arial" w:hAnsi="Arial"/>
          <w:u w:val="single"/>
        </w:rPr>
        <w:t>Ft. Pierce MHI501F</w:t>
      </w:r>
      <w:r>
        <w:rPr>
          <w:rFonts w:cs="Arial" w:ascii="Arial" w:hAnsi="Arial"/>
        </w:rPr>
        <w:t>: This turbine is tentatively allocated to the Ft. Pierce project. As this turbine was originally purchased under a contract for two units earmarked for the Brazil market, we are currently negotiating a breakout contract with MHI that includes appropriate NOx emission warranties and other terms required for deployment in the US market.</w:t>
      </w:r>
    </w:p>
    <w:p>
      <w:pPr>
        <w:pStyle w:val="Normal"/>
        <w:autoSpaceDE w:val="false"/>
        <w:ind w:start="0" w:end="0"/>
        <w:rPr>
          <w:rFonts w:ascii="Arial" w:hAnsi="Arial" w:cs="Arial"/>
        </w:rPr>
      </w:pPr>
      <w:r>
        <w:rPr>
          <w:rFonts w:cs="Arial" w:ascii="Arial" w:hAnsi="Arial"/>
        </w:rPr>
      </w:r>
    </w:p>
    <w:p>
      <w:pPr>
        <w:pStyle w:val="Normal"/>
        <w:autoSpaceDE w:val="false"/>
        <w:ind w:start="0" w:end="0"/>
        <w:rPr/>
      </w:pPr>
      <w:r>
        <w:rPr>
          <w:rFonts w:cs="Arial" w:ascii="Arial" w:hAnsi="Arial"/>
          <w:u w:val="single"/>
        </w:rPr>
        <w:t>Longview 7FA</w:t>
      </w:r>
      <w:r>
        <w:rPr>
          <w:rFonts w:cs="Arial" w:ascii="Arial" w:hAnsi="Arial"/>
        </w:rPr>
        <w:t>:  Development has progressed and is expected to be complete September 30, 2001.  EPC contract negotiations continue with Modern Continental, expect to finalize August 31.  Sale process has been initiated with initial bids due August 1, 2001.</w:t>
      </w:r>
    </w:p>
    <w:p>
      <w:pPr>
        <w:pStyle w:val="Normal"/>
        <w:autoSpaceDE w:val="false"/>
        <w:ind w:start="0" w:end="0"/>
        <w:rPr>
          <w:rFonts w:ascii="Arial" w:hAnsi="Arial" w:cs="Arial"/>
          <w:u w:val="single"/>
        </w:rPr>
      </w:pPr>
      <w:r>
        <w:rPr>
          <w:rFonts w:cs="Arial" w:ascii="Arial" w:hAnsi="Arial"/>
          <w:u w:val="single"/>
        </w:rPr>
      </w:r>
    </w:p>
    <w:p>
      <w:pPr>
        <w:pStyle w:val="Normal"/>
        <w:autoSpaceDE w:val="false"/>
        <w:ind w:start="0" w:end="0"/>
        <w:rPr/>
      </w:pPr>
      <w:r>
        <w:rPr>
          <w:rFonts w:cs="Arial" w:ascii="Arial" w:hAnsi="Arial"/>
          <w:b/>
          <w:bCs/>
          <w:u w:val="single"/>
        </w:rPr>
        <w:t>Canada Treaty</w:t>
      </w:r>
      <w:r>
        <w:rPr>
          <w:rFonts w:cs="Arial" w:ascii="Arial" w:hAnsi="Arial"/>
          <w:b/>
          <w:bCs/>
        </w:rPr>
        <w:t xml:space="preserve">:  </w:t>
      </w:r>
    </w:p>
    <w:p>
      <w:pPr>
        <w:pStyle w:val="Normal"/>
        <w:autoSpaceDE w:val="false"/>
        <w:ind w:start="0" w:end="0"/>
        <w:rPr>
          <w:rFonts w:ascii="Arial" w:hAnsi="Arial" w:cs="Arial"/>
          <w:b/>
          <w:bCs/>
        </w:rPr>
      </w:pPr>
      <w:r>
        <w:rPr>
          <w:rFonts w:cs="Arial" w:ascii="Arial" w:hAnsi="Arial"/>
          <w:b/>
          <w:bCs/>
        </w:rPr>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Enron Canada Corp. (ECC) would continue to market the units through September 1, 2001.</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Other EA business units would during this period look at incorporating the units into sites across the Americas.</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Effective September 1, 2001, the prime responsibility for the units would move over to the Turbine Book.</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The units would be transferred at a deemed value to $30 MM US (the “Transfer Price”).</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ECC would take a write down on the cost basis as of September 1, 2001.</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Effective September 1, 2001 the Turbine Book would assume the downside risk of a sale below $30 MM US.</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If any of the parties ECC is currently dealing with on its short list dated June 25 ultimately buys the units after September 1, 2001, ECC would get all of the origination above the Transfer Price less carrying costs from September 1, 2001 less a $1 MM US brokerage fee to be paid to the Turbine Book.</w:t>
      </w:r>
    </w:p>
    <w:p>
      <w:pPr>
        <w:pStyle w:val="Normal"/>
        <w:numPr>
          <w:ilvl w:val="0"/>
          <w:numId w:val="3"/>
        </w:numPr>
        <w:tabs>
          <w:tab w:val="clear" w:pos="720"/>
          <w:tab w:val="left" w:pos="0" w:leader="none"/>
        </w:tabs>
        <w:ind w:hanging="400" w:start="400" w:end="0"/>
        <w:rPr>
          <w:rFonts w:ascii="Arial" w:hAnsi="Arial" w:cs="Arial"/>
        </w:rPr>
      </w:pPr>
      <w:r>
        <w:rPr>
          <w:rFonts w:cs="Arial" w:ascii="Arial" w:hAnsi="Arial"/>
        </w:rPr>
        <w:t>If the units are sold to a party not currently in discussions with ECC after September 1, 2001, ECC would receive no origination.</w:t>
      </w:r>
    </w:p>
    <w:p>
      <w:pPr>
        <w:pStyle w:val="Normal"/>
        <w:autoSpaceDE w:val="false"/>
        <w:spacing w:lineRule="atLeast" w:line="240"/>
        <w:ind w:start="360" w:end="0"/>
        <w:rPr>
          <w:rFonts w:ascii="Arial" w:hAnsi="Arial" w:cs="Arial"/>
          <w:color w:val="000000"/>
        </w:rPr>
      </w:pPr>
      <w:r>
        <w:rPr>
          <w:rFonts w:cs="Arial" w:ascii="Arial" w:hAnsi="Arial"/>
          <w:color w:val="000000"/>
        </w:rPr>
      </w:r>
    </w:p>
    <w:p>
      <w:pPr>
        <w:pStyle w:val="Normal"/>
        <w:autoSpaceDE w:val="false"/>
        <w:spacing w:lineRule="atLeast" w:line="240"/>
        <w:ind w:start="0" w:end="0"/>
        <w:rPr>
          <w:rFonts w:ascii="Arial" w:hAnsi="Arial" w:cs="Arial"/>
          <w:color w:val="000000"/>
        </w:rPr>
      </w:pPr>
      <w:r>
        <w:rPr>
          <w:rFonts w:cs="Arial" w:ascii="Arial" w:hAnsi="Arial"/>
          <w:color w:val="000000"/>
        </w:rPr>
      </w:r>
    </w:p>
    <w:p>
      <w:pPr>
        <w:pStyle w:val="Normal"/>
        <w:tabs>
          <w:tab w:val="clear" w:pos="720"/>
          <w:tab w:val="left" w:pos="400" w:leader="none"/>
        </w:tabs>
        <w:ind w:start="0" w:end="0"/>
        <w:rPr>
          <w:rFonts w:ascii="Arial" w:hAnsi="Arial" w:cs="Arial"/>
          <w:color w:val="000000"/>
        </w:rPr>
      </w:pPr>
      <w:r>
        <w:rPr>
          <w:rFonts w:cs="Arial" w:ascii="Arial" w:hAnsi="Arial"/>
          <w:color w:val="000000"/>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
          <w:bCs/>
          <w:u w:val="single"/>
        </w:rPr>
      </w:pPr>
      <w:r>
        <w:rPr>
          <w:rFonts w:cs="Arial" w:ascii="Arial" w:hAnsi="Arial"/>
          <w:b/>
          <w:bCs/>
          <w:u w:val="single"/>
        </w:rPr>
      </w:r>
    </w:p>
    <w:p>
      <w:pPr>
        <w:pStyle w:val="Closing"/>
        <w:tabs>
          <w:tab w:val="clear" w:pos="720"/>
          <w:tab w:val="left" w:pos="3422" w:leader="none"/>
        </w:tabs>
        <w:spacing w:lineRule="auto" w:line="240"/>
        <w:rPr>
          <w:rFonts w:ascii="Arial" w:hAnsi="Arial" w:cs="Arial"/>
          <w:b/>
          <w:bCs/>
          <w:u w:val="single"/>
        </w:rPr>
      </w:pPr>
      <w:r>
        <w:rPr>
          <w:rFonts w:cs="Arial" w:ascii="Arial" w:hAnsi="Arial"/>
          <w:b/>
          <w:bCs/>
          <w:u w:val="single"/>
        </w:rPr>
      </w:r>
    </w:p>
    <w:sectPr>
      <w:headerReference w:type="default" r:id="rId3"/>
      <w:headerReference w:type="first" r:id="rId4"/>
      <w:footerReference w:type="default" r:id="rId5"/>
      <w:footerReference w:type="first" r:id="rId6"/>
      <w:type w:val="nextPage"/>
      <w:pgSz w:w="12240" w:h="15840"/>
      <w:pgMar w:left="1800" w:right="1440" w:gutter="0" w:header="965" w:top="1440" w:footer="1440" w:bottom="1496"/>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Impact">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hanging="0" w:start="-1080" w:end="-1080"/>
      <w:rPr/>
    </w:pPr>
    <w:r>
      <w:rPr/>
      <w:tab/>
      <w:tab/>
    </w:r>
    <w:r>
      <w:rPr/>
      <w:fldChar w:fldCharType="begin"/>
    </w:r>
    <w:r>
      <w:rPr/>
      <w:instrText xml:space="preserve"> PAGE \* ARABIC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420" w:after="0"/>
      <w:ind w:start="0" w:end="-1080"/>
      <w:rPr>
        <w:b w:val="false"/>
      </w:rPr>
    </w:pPr>
    <w:r>
      <w:rPr>
        <w:b w:val="fals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ind w:hanging="0" w:start="835" w:end="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BodyText"/>
    <w:qFormat/>
    <w:pPr>
      <w:keepNext w:val="true"/>
      <w:keepLines/>
      <w:numPr>
        <w:ilvl w:val="0"/>
        <w:numId w:val="1"/>
      </w:numPr>
      <w:spacing w:lineRule="atLeast" w:line="200"/>
      <w:outlineLvl w:val="0"/>
    </w:pPr>
    <w:rPr>
      <w:rFonts w:ascii="Arial" w:hAnsi="Arial" w:cs="Arial"/>
      <w:b/>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w:hAnsi="Arial" w:cs="Arial"/>
      <w:spacing w:val="-10"/>
      <w:kern w:val="2"/>
    </w:rPr>
  </w:style>
  <w:style w:type="paragraph" w:styleId="Heading3">
    <w:name w:val="heading 3"/>
    <w:basedOn w:val="Normal"/>
    <w:next w:val="BodyText"/>
    <w:qFormat/>
    <w:pPr>
      <w:keepNext w:val="true"/>
      <w:keepLines/>
      <w:numPr>
        <w:ilvl w:val="2"/>
        <w:numId w:val="1"/>
      </w:numPr>
      <w:spacing w:lineRule="atLeast" w:line="220" w:before="220" w:after="220"/>
      <w:outlineLvl w:val="2"/>
    </w:pPr>
    <w:rPr>
      <w:i/>
      <w:spacing w:val="-5"/>
      <w:kern w:val="2"/>
    </w:rPr>
  </w:style>
  <w:style w:type="paragraph" w:styleId="Heading4">
    <w:name w:val="heading 4"/>
    <w:basedOn w:val="Normal"/>
    <w:next w:val="BodyText"/>
    <w:qFormat/>
    <w:pPr>
      <w:keepNext w:val="true"/>
      <w:keepLines/>
      <w:numPr>
        <w:ilvl w:val="3"/>
        <w:numId w:val="1"/>
      </w:numPr>
      <w:spacing w:lineRule="atLeast" w:line="220"/>
      <w:outlineLvl w:val="3"/>
    </w:pPr>
    <w:rPr>
      <w:i/>
      <w:spacing w:val="-2"/>
      <w:kern w:val="2"/>
    </w:rPr>
  </w:style>
  <w:style w:type="paragraph" w:styleId="Heading5">
    <w:name w:val="heading 5"/>
    <w:basedOn w:val="Normal"/>
    <w:next w:val="BodyText"/>
    <w:qFormat/>
    <w:pPr>
      <w:keepNext w:val="true"/>
      <w:keepLines/>
      <w:numPr>
        <w:ilvl w:val="4"/>
        <w:numId w:val="1"/>
      </w:numPr>
      <w:spacing w:lineRule="atLeast" w:line="220"/>
      <w:ind w:hanging="0" w:start="1440" w:end="0"/>
      <w:outlineLvl w:val="4"/>
    </w:pPr>
    <w:rPr>
      <w:i/>
      <w:spacing w:val="-2"/>
      <w:kern w:val="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Symbol" w:hAnsi="Symbol" w:cs="Symbol"/>
      <w:color w:val="0000FF"/>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DefaultParagraphFont">
    <w:name w:val="Default Paragraph Font"/>
    <w:qFormat/>
    <w:rPr/>
  </w:style>
  <w:style w:type="character" w:styleId="MessageHeaderLabel">
    <w:name w:val="Message Header Label"/>
    <w:qFormat/>
    <w:rPr>
      <w:rFonts w:ascii="Arial" w:hAnsi="Arial" w:cs="Arial"/>
      <w:b/>
      <w:spacing w:val="-4"/>
      <w:position w:val="0"/>
      <w:sz w:val="18"/>
      <w:sz w:val="18"/>
      <w:vertAlign w:val="baseline"/>
    </w:rPr>
  </w:style>
  <w:style w:type="character" w:styleId="PageNumber">
    <w:name w:val="page number"/>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2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spacing w:lineRule="atLeast" w:line="220"/>
    </w:pPr>
    <w:rPr/>
  </w:style>
  <w:style w:type="paragraph" w:styleId="CompanyName">
    <w:name w:val="Company Name"/>
    <w:basedOn w:val="Normal"/>
    <w:qFormat/>
    <w:pPr>
      <w:keepLines/>
      <w:spacing w:lineRule="atLeast" w:line="200"/>
      <w:ind w:hanging="0" w:start="0" w:end="-115"/>
    </w:pPr>
    <w:rPr>
      <w:sz w:val="16"/>
    </w:rPr>
  </w:style>
  <w:style w:type="paragraph" w:styleId="DocumentLabel">
    <w:name w:val="Document Label"/>
    <w:next w:val="Normal"/>
    <w:qFormat/>
    <w:pPr>
      <w:widowControl/>
      <w:bidi w:val="0"/>
      <w:spacing w:lineRule="atLeast" w:line="600" w:before="140" w:after="540"/>
      <w:ind w:hanging="0" w:start="840" w:end="0"/>
    </w:pPr>
    <w:rPr>
      <w:rFonts w:ascii="Times New Roman" w:hAnsi="Times New Roman" w:eastAsia="Times New Roman" w:cs="Times New Roman"/>
      <w:color w:val="auto"/>
      <w:spacing w:val="-38"/>
      <w:sz w:val="60"/>
      <w:szCs w:val="20"/>
      <w:lang w:val="en-US" w:bidi="ar-SA" w:eastAsia="zh-CN"/>
    </w:rPr>
  </w:style>
  <w:style w:type="paragraph" w:styleId="Enclosure">
    <w:name w:val="Enclosure"/>
    <w:basedOn w:val="BodyText"/>
    <w:next w:val="Normal"/>
    <w:qFormat/>
    <w:pPr>
      <w:keepLines/>
      <w:spacing w:before="220" w:after="220"/>
    </w:pPr>
    <w:rPr/>
  </w:style>
  <w:style w:type="paragraph" w:styleId="HeaderBase">
    <w:name w:val="Header Base"/>
    <w:basedOn w:val="Normal"/>
    <w:qFormat/>
    <w:pPr>
      <w:keepLines/>
      <w:tabs>
        <w:tab w:val="clear" w:pos="720"/>
        <w:tab w:val="left" w:pos="-1080" w:leader="none"/>
        <w:tab w:val="center" w:pos="4320" w:leader="none"/>
        <w:tab w:val="right" w:pos="9480" w:leader="none"/>
      </w:tabs>
      <w:ind w:hanging="0" w:start="-1080" w:end="-840"/>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420" w:after="0"/>
      <w:ind w:hanging="0" w:start="-1080" w:end="-1080"/>
    </w:pPr>
    <w:rPr>
      <w:b/>
    </w:rPr>
  </w:style>
  <w:style w:type="paragraph" w:styleId="Header">
    <w:name w:val="header"/>
    <w:basedOn w:val="HeaderBase"/>
    <w:pPr>
      <w:ind w:hanging="0" w:start="-1080" w:end="-1080"/>
    </w:pPr>
    <w:rPr>
      <w:i/>
    </w:rPr>
  </w:style>
  <w:style w:type="paragraph" w:styleId="HeadingBase">
    <w:name w:val="Heading Base"/>
    <w:basedOn w:val="BodyText"/>
    <w:next w:val="BodyText"/>
    <w:qFormat/>
    <w:pPr>
      <w:keepNext w:val="true"/>
      <w:keepLines/>
      <w:spacing w:before="0" w:after="0"/>
    </w:pPr>
    <w:rPr>
      <w:rFonts w:ascii="Arial" w:hAnsi="Arial" w:cs="Arial"/>
      <w:spacing w:val="-10"/>
      <w:kern w:val="2"/>
      <w:sz w:val="18"/>
    </w:rPr>
  </w:style>
  <w:style w:type="paragraph" w:styleId="MessageHeader">
    <w:name w:val="Message Header"/>
    <w:basedOn w:val="BodyText"/>
    <w:qFormat/>
    <w:pPr>
      <w:keepLines/>
      <w:spacing w:lineRule="atLeast" w:line="415" w:before="0" w:after="0"/>
      <w:ind w:hanging="720" w:start="1560" w:end="0"/>
    </w:pPr>
    <w:rPr/>
  </w:style>
  <w:style w:type="paragraph" w:styleId="MessageHeaderFirst">
    <w:name w:val="Message Header First"/>
    <w:basedOn w:val="MessageHeader"/>
    <w:next w:val="MessageHeader"/>
    <w:qFormat/>
    <w:pPr/>
    <w:rPr/>
  </w:style>
  <w:style w:type="paragraph" w:styleId="MessageHeaderLast">
    <w:name w:val="Message Header Last"/>
    <w:basedOn w:val="MessageHeader"/>
    <w:next w:val="BodyText"/>
    <w:qFormat/>
    <w:pPr>
      <w:pBdr>
        <w:bottom w:val="single" w:sz="6" w:space="22" w:color="000000"/>
      </w:pBdr>
      <w:spacing w:before="0" w:after="400"/>
    </w:pPr>
    <w:rPr/>
  </w:style>
  <w:style w:type="paragraph" w:styleId="NormalIndent">
    <w:name w:val="Normal Indent"/>
    <w:basedOn w:val="Normal"/>
    <w:qFormat/>
    <w:pPr>
      <w:ind w:hanging="0" w:start="1440" w:end="0"/>
    </w:pPr>
    <w:rPr/>
  </w:style>
  <w:style w:type="paragraph" w:styleId="ReturnAddress">
    <w:name w:val="Return Address"/>
    <w:basedOn w:val="Normal"/>
    <w:qFormat/>
    <w:pPr>
      <w:keepLines/>
      <w:spacing w:lineRule="atLeast" w:line="200"/>
      <w:ind w:hanging="0" w:start="0" w:end="-120"/>
    </w:pPr>
    <w:rPr>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ind w:hanging="0" w:start="835" w:end="0"/>
    </w:pPr>
    <w:rPr/>
  </w:style>
  <w:style w:type="paragraph" w:styleId="SignatureName">
    <w:name w:val="Signature Name"/>
    <w:basedOn w:val="Signature"/>
    <w:next w:val="SignatureJobTitle"/>
    <w:qFormat/>
    <w:pPr>
      <w:spacing w:before="720" w:after="0"/>
    </w:pPr>
    <w:rPr/>
  </w:style>
  <w:style w:type="paragraph" w:styleId="Slogan">
    <w:name w:val="Slogan"/>
    <w:basedOn w:val="Normal"/>
    <w:qFormat/>
    <w:pPr>
      <w:ind w:hanging="0" w:start="0" w:end="0"/>
    </w:pPr>
    <w:rPr>
      <w:rFonts w:ascii="Impact" w:hAnsi="Impact" w:cs="Impact"/>
      <w:caps/>
      <w:color w:val="DFDFDF"/>
      <w:spacing w:val="20"/>
      <w:sz w:val="48"/>
    </w:rPr>
  </w:style>
  <w:style w:type="paragraph" w:styleId="BodyTextIndent">
    <w:name w:val="Body Text Indent"/>
    <w:basedOn w:val="Normal"/>
    <w:pPr>
      <w:autoSpaceDE w:val="false"/>
      <w:spacing w:lineRule="atLeast" w:line="240"/>
      <w:ind w:hanging="0" w:start="360" w:end="0"/>
    </w:pPr>
    <w:rPr>
      <w:rFonts w:ascii="Arial" w:hAnsi="Arial" w:cs="Arial"/>
      <w:color w:val="000000"/>
    </w:rPr>
  </w:style>
  <w:style w:type="paragraph" w:styleId="BodyTextIndent2">
    <w:name w:val="Body Text Indent 2"/>
    <w:basedOn w:val="Normal"/>
    <w:qFormat/>
    <w:pPr>
      <w:autoSpaceDE w:val="false"/>
      <w:spacing w:lineRule="atLeast" w:line="240"/>
      <w:ind w:hanging="0" w:start="360" w:end="0"/>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1080"/>
        <w:tab w:val="clear" w:pos="4320"/>
        <w:tab w:val="clear" w:pos="9480"/>
        <w:tab w:val="center" w:pos="4500" w:leader="none"/>
        <w:tab w:val="right" w:pos="900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Contemporary Memo</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2001-07-03T21:51:00Z</dcterms:created>
  <dc:creator>mgustaf</dc:creator>
  <dc:description/>
  <dc:language>en-CA</dc:language>
  <cp:lastModifiedBy>mgustaf</cp:lastModifiedBy>
  <cp:lastPrinted>2001-07-03T16:36:00Z</cp:lastPrinted>
  <dcterms:modified xsi:type="dcterms:W3CDTF">2001-07-05T20:13:00Z</dcterms:modified>
  <cp:revision>3</cp:revision>
  <dc:subject/>
  <dc:title>Contemporary Memo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