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January __, 2001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bCs/>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bCs/>
                <w:sz w:val="20"/>
              </w:rPr>
              <w:t>Name:</w:t>
            </w:r>
            <w:r>
              <w:rPr>
                <w:sz w:val="20"/>
              </w:rPr>
              <w:t xml:space="preserve"> Tucson Electric Power Company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bCs/>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bCs/>
                <w:sz w:val="20"/>
              </w:rPr>
            </w:pPr>
            <w:r>
              <w:rPr>
                <w:b/>
                <w:bCs/>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 xml:space="preserve">Street: </w:t>
            </w:r>
            <w:r>
              <w:rPr>
                <w:sz w:val="20"/>
                <w:u w:val="single"/>
              </w:rPr>
              <w:tab/>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tabs>
                <w:tab w:val="clear" w:pos="720"/>
                <w:tab w:val="right" w:pos="4475" w:leader="none"/>
              </w:tabs>
              <w:spacing w:before="0" w:after="12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tabs>
                <w:tab w:val="clear" w:pos="720"/>
                <w:tab w:val="right" w:pos="4475" w:leader="none"/>
              </w:tabs>
              <w:spacing w:before="0" w:after="12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3"/>
            <w:tcBorders/>
          </w:tcPr>
          <w:p>
            <w:pPr>
              <w:pStyle w:val="Normal"/>
              <w:spacing w:before="0" w:after="120"/>
              <w:rPr>
                <w:sz w:val="20"/>
              </w:rPr>
            </w:pPr>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3"/>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3"/>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gridSpan w:val="2"/>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gridSpan w:val="2"/>
            <w:tcBorders/>
          </w:tcPr>
          <w:p>
            <w:pPr>
              <w:pStyle w:val="Normal"/>
              <w:tabs>
                <w:tab w:val="clear" w:pos="720"/>
                <w:tab w:val="right" w:pos="2844" w:leader="none"/>
              </w:tabs>
              <w:spacing w:before="0" w:after="120"/>
              <w:rPr>
                <w:sz w:val="20"/>
              </w:rPr>
            </w:pPr>
            <w:r>
              <w:rPr>
                <w:sz w:val="20"/>
              </w:rPr>
              <w:t>Cross Default Amount $100,000,000.00</w:t>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gridSpan w:val="2"/>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Party B: Tucson Electric Power</w:t>
              <w:br/>
              <w:t xml:space="preserve">                   Company</w:t>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$10,000,000.00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szCs w:val="24"/>
              </w:rPr>
            </w:pPr>
            <w:r>
              <w:rPr/>
              <w:t></w:t>
            </w:r>
            <w:r>
              <w:rPr>
                <w:rFonts w:cs="Times New Roman" w:ascii="Times New Roman" w:hAnsi="Times New Roman"/>
                <w:szCs w:val="24"/>
              </w:rPr>
              <w:t xml:space="preserve">  </w:t>
            </w:r>
            <w:r>
              <w:rPr>
                <w:rFonts w:cs="Times New Roman" w:ascii="Times New Roman" w:hAnsi="Times New Roman"/>
                <w:szCs w:val="24"/>
              </w:rPr>
              <w:t xml:space="preserve">Other Entity: </w:t>
            </w:r>
            <w:r>
              <w:rPr>
                <w:rFonts w:cs="Times New Roman" w:ascii="Times New Roman" w:hAnsi="Times New Roman"/>
                <w:szCs w:val="24"/>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szCs w:val="24"/>
              </w:rPr>
            </w:pPr>
            <w:r>
              <w:rPr>
                <w:rFonts w:cs="Times New Roman" w:ascii="Times New Roman" w:hAnsi="Times New Roman"/>
                <w:szCs w:val="24"/>
              </w:rPr>
              <w:t>Cross Default Amount $</w:t>
            </w:r>
            <w:r>
              <w:rPr>
                <w:rFonts w:cs="Times New Roman" w:ascii="Times New Roman" w:hAnsi="Times New Roman"/>
                <w:szCs w:val="24"/>
                <w:u w:val="single"/>
              </w:rPr>
              <w:tab/>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Option B - Affiliates shall have the meaning set forth in the Agreement unless otherwise specified as follows:</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PlainText"/>
              <w:spacing w:before="0" w:after="200"/>
              <w:rPr/>
            </w:pPr>
            <w:r>
              <w:rPr>
                <w:szCs w:val="24"/>
              </w:rPr>
              <w:t xml:space="preserve">Party B Collateral Threshold:  Shall be the amount set forth opposite the Credit Rating for </w:t>
            </w:r>
            <w:r>
              <w:rPr/>
              <w:t>Tucson Electric Power Company</w:t>
            </w:r>
            <w:r>
              <w:rPr>
                <w:szCs w:val="24"/>
              </w:rPr>
              <w:t xml:space="preserve">: </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rPr>
            </w:pPr>
            <w:r>
              <w:rPr>
                <w:rFonts w:cs="Times New Roman" w:ascii="Times New Roman" w:hAnsi="Times New Roman"/>
                <w:u w:val="single"/>
              </w:rPr>
              <w:t>Collateral</w:t>
            </w:r>
            <w:r>
              <w:rPr>
                <w:rFonts w:cs="Times New Roman" w:ascii="Times New Roman" w:hAnsi="Times New Roman"/>
              </w:rPr>
              <w:t xml:space="preserve"> </w:t>
            </w:r>
            <w:r>
              <w:rPr>
                <w:rFonts w:cs="Times New Roman" w:ascii="Times New Roman" w:hAnsi="Times New Roman"/>
                <w:u w:val="single"/>
              </w:rPr>
              <w:t>Threshold</w:t>
            </w:r>
            <w:r>
              <w:rPr>
                <w:rFonts w:cs="Times New Roman" w:ascii="Times New Roman" w:hAnsi="Times New Roman"/>
              </w:rPr>
              <w:t xml:space="preserve">          </w:t>
            </w:r>
            <w:r>
              <w:rPr>
                <w:rFonts w:cs="Times New Roman" w:ascii="Times New Roman" w:hAnsi="Times New Roman"/>
                <w:u w:val="single"/>
              </w:rPr>
              <w:t>Credit Rating (S&amp;P)</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pPr>
            <w:r>
              <w:rPr>
                <w:rFonts w:cs="Times New Roman" w:ascii="Times New Roman" w:hAnsi="Times New Roman"/>
              </w:rPr>
              <w:t>$15,000,000                             BBB- or above</w:t>
            </w:r>
          </w:p>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200"/>
              <w:rPr>
                <w:rFonts w:ascii="Times New Roman" w:hAnsi="Times New Roman" w:cs="Times New Roman"/>
                <w:szCs w:val="24"/>
              </w:rPr>
            </w:pPr>
            <w:r>
              <w:rPr>
                <w:rFonts w:cs="Times New Roman" w:ascii="Times New Roman" w:hAnsi="Times New Roman"/>
                <w:szCs w:val="24"/>
              </w:rPr>
              <w:t>$10,000,000                             BB &amp; BB+</w:t>
            </w:r>
          </w:p>
          <w:p>
            <w:pPr>
              <w:pStyle w:val="Normal"/>
              <w:spacing w:before="0" w:after="200"/>
              <w:rPr>
                <w:sz w:val="20"/>
              </w:rPr>
            </w:pPr>
            <w:r>
              <w:rPr>
                <w:sz w:val="20"/>
              </w:rPr>
              <w:t>$8,500,000                               B+ &amp; BB-</w:t>
            </w:r>
          </w:p>
          <w:p>
            <w:pPr>
              <w:pStyle w:val="Normal"/>
              <w:spacing w:before="0" w:after="120"/>
              <w:rPr>
                <w:sz w:val="20"/>
              </w:rPr>
            </w:pPr>
            <w:r>
              <w:rPr>
                <w:sz w:val="20"/>
              </w:rPr>
              <w:t xml:space="preserve">$0                                             below B-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provided, however, that Party B’s Collateral Threshold shall be zero if an Event of  Default or Potential Event of Default with respect to Party B has occurred and is continuing.</w:t>
            </w:r>
          </w:p>
          <w:p>
            <w:pPr>
              <w:pStyle w:val="Normal"/>
              <w:tabs>
                <w:tab w:val="clear" w:pos="720"/>
                <w:tab w:val="right" w:pos="3852" w:leader="none"/>
              </w:tabs>
              <w:spacing w:before="0" w:after="120"/>
              <w:rPr>
                <w:sz w:val="20"/>
              </w:rPr>
            </w:pPr>
            <w:r>
              <w:rPr>
                <w:sz w:val="20"/>
              </w:rPr>
              <w:t>Party B Independent Amount: $0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B Rounding Amount: $250,000.00</w:t>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 xml:space="preserve">Specify: It shall be a Downgrade Event for Party B if Tucson Electric Power Company shall have any of the following occur at any time:  (a) </w:t>
            </w:r>
            <w:r>
              <w:rPr>
                <w:sz w:val="20"/>
                <w:szCs w:val="18"/>
              </w:rPr>
              <w:t>if, in the reasonable opinion of Party A, a material change has occurred in the creditworthiness, financial condition or ongoing business of Party B that may adversely affect Party B’s ability to perform hereunder, or (b) its Credit Rating falls below B+ from S&amp;P, or (c) it is not rated by S&amp;P.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PlainText"/>
              <w:spacing w:before="0" w:after="200"/>
              <w:rPr/>
            </w:pPr>
            <w:r>
              <w:rPr>
                <w:szCs w:val="24"/>
              </w:rPr>
              <w:t xml:space="preserve">Party A Collateral Threshold:  Shall be the amount set forth opposite the Credit Rating for </w:t>
            </w:r>
            <w:r>
              <w:rPr/>
              <w:t>Enron Corp.</w:t>
            </w:r>
            <w:r>
              <w:rPr>
                <w:szCs w:val="24"/>
              </w:rPr>
              <w:t xml:space="preserve">: </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rPr>
            </w:pPr>
            <w:r>
              <w:rPr>
                <w:rFonts w:cs="Times New Roman" w:ascii="Times New Roman" w:hAnsi="Times New Roman"/>
                <w:u w:val="single"/>
              </w:rPr>
              <w:t>Collateral</w:t>
            </w:r>
            <w:r>
              <w:rPr>
                <w:rFonts w:cs="Times New Roman" w:ascii="Times New Roman" w:hAnsi="Times New Roman"/>
              </w:rPr>
              <w:t xml:space="preserve"> </w:t>
            </w:r>
            <w:r>
              <w:rPr>
                <w:rFonts w:cs="Times New Roman" w:ascii="Times New Roman" w:hAnsi="Times New Roman"/>
                <w:u w:val="single"/>
              </w:rPr>
              <w:t>Threshold</w:t>
            </w:r>
            <w:r>
              <w:rPr>
                <w:rFonts w:cs="Times New Roman" w:ascii="Times New Roman" w:hAnsi="Times New Roman"/>
              </w:rPr>
              <w:t xml:space="preserve">          </w:t>
            </w:r>
            <w:r>
              <w:rPr>
                <w:rFonts w:cs="Times New Roman" w:ascii="Times New Roman" w:hAnsi="Times New Roman"/>
                <w:u w:val="single"/>
              </w:rPr>
              <w:t>Credit Rating (S&amp;P)</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rPr>
            </w:pPr>
            <w:r>
              <w:rPr>
                <w:rFonts w:cs="Times New Roman" w:ascii="Times New Roman" w:hAnsi="Times New Roman"/>
              </w:rPr>
              <w:t>$45,000,000                             BBB- or above</w:t>
            </w:r>
          </w:p>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200"/>
              <w:rPr>
                <w:rFonts w:ascii="Times New Roman" w:hAnsi="Times New Roman" w:cs="Times New Roman"/>
                <w:szCs w:val="24"/>
              </w:rPr>
            </w:pPr>
            <w:r>
              <w:rPr>
                <w:rFonts w:cs="Times New Roman" w:ascii="Times New Roman" w:hAnsi="Times New Roman"/>
                <w:szCs w:val="24"/>
              </w:rPr>
              <w:t>$30,000,000                             BB &amp; BB+</w:t>
            </w:r>
          </w:p>
          <w:p>
            <w:pPr>
              <w:pStyle w:val="Normal"/>
              <w:spacing w:before="0" w:after="200"/>
              <w:rPr>
                <w:sz w:val="20"/>
              </w:rPr>
            </w:pPr>
            <w:r>
              <w:rPr>
                <w:sz w:val="20"/>
              </w:rPr>
              <w:t>$25,000,000                             B+ &amp; BB-</w:t>
            </w:r>
          </w:p>
          <w:p>
            <w:pPr>
              <w:pStyle w:val="Normal"/>
              <w:spacing w:before="0" w:after="120"/>
              <w:rPr>
                <w:sz w:val="20"/>
              </w:rPr>
            </w:pPr>
            <w:r>
              <w:rPr>
                <w:sz w:val="20"/>
              </w:rPr>
              <w:t>$0                                             below B-</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tabs>
                <w:tab w:val="clear" w:pos="720"/>
                <w:tab w:val="right" w:pos="3852" w:leader="none"/>
              </w:tabs>
              <w:spacing w:before="0" w:after="120"/>
              <w:rPr/>
            </w:pPr>
            <w:r>
              <w:rPr>
                <w:sz w:val="20"/>
              </w:rPr>
              <w:t>provided, however, that Party A’s Collateral Threshold shall be zero if an Event of  Default or Potential Event of Default with respect to Party A has occurred and is continuing.</w:t>
            </w:r>
          </w:p>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120"/>
              <w:rPr>
                <w:rFonts w:ascii="Times New Roman" w:hAnsi="Times New Roman" w:cs="Times New Roman"/>
                <w:szCs w:val="24"/>
              </w:rPr>
            </w:pPr>
            <w:r>
              <w:rPr>
                <w:rFonts w:cs="Times New Roman" w:ascii="Times New Roman" w:hAnsi="Times New Roman"/>
                <w:szCs w:val="24"/>
              </w:rPr>
              <w:t>Party B Independent Amount: $0</w:t>
            </w:r>
          </w:p>
        </w:tc>
      </w:tr>
      <w:tr>
        <w:trPr/>
        <w:tc>
          <w:tcPr>
            <w:tcW w:w="3708" w:type="dxa"/>
            <w:tcBorders/>
          </w:tcPr>
          <w:p>
            <w:pPr>
              <w:pStyle w:val="Normal"/>
              <w:snapToGrid w:val="false"/>
              <w:spacing w:before="0" w:after="120"/>
              <w:rPr>
                <w:rFonts w:ascii="Times New Roman" w:hAnsi="Times New Roman" w:cs="Times New Roman"/>
                <w:sz w:val="20"/>
                <w:szCs w:val="24"/>
                <w:u w:val="single"/>
              </w:rPr>
            </w:pPr>
            <w:r>
              <w:rPr>
                <w:rFonts w:cs="Times New Roman"/>
                <w:sz w:val="20"/>
                <w:szCs w:val="24"/>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A if Enron Corp.'s Credit Rating falls below B+ from S&amp;P or if Enron Corp. is not rated by S&amp;P.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$25,000,000.00</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sz w:val="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sz w:val="2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pPr>
            <w:r>
              <w:rPr>
                <w:rFonts w:cs="Times New Roman" w:ascii="Times New Roman" w:hAnsi="Times New Roman"/>
                <w:szCs w:val="24"/>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3"/>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3"/>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3"/>
        </w:numPr>
        <w:tabs>
          <w:tab w:val="clear" w:pos="720"/>
          <w:tab w:val="left" w:pos="360" w:leader="none"/>
          <w:tab w:val="left" w:pos="900" w:leader="none"/>
        </w:tabs>
        <w:spacing w:before="0" w:after="120"/>
        <w:ind w:hanging="0" w:start="360" w:end="0"/>
        <w:rPr>
          <w:szCs w:val="24"/>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Heading2"/>
        <w:numPr>
          <w:ilvl w:val="0"/>
          <w:numId w:val="13"/>
        </w:numPr>
        <w:tabs>
          <w:tab w:val="clear" w:pos="720"/>
          <w:tab w:val="left" w:pos="360" w:leader="none"/>
        </w:tabs>
        <w:spacing w:before="0" w:after="120"/>
        <w:ind w:hanging="0" w:start="0" w:end="0"/>
        <w:rPr>
          <w:sz w:val="20"/>
        </w:rPr>
      </w:pPr>
      <w:r>
        <w:rPr>
          <w:b/>
          <w:bCs/>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szCs w:val="24"/>
        </w:rPr>
      </w:pPr>
      <w:r>
        <w:rPr/>
        <w:t xml:space="preserve">"Party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3"/>
        </w:numPr>
        <w:tabs>
          <w:tab w:val="clear" w:pos="720"/>
          <w:tab w:val="left" w:pos="360" w:leader="none"/>
        </w:tabs>
        <w:spacing w:before="0" w:after="120"/>
        <w:ind w:hanging="0" w:start="0" w:end="0"/>
        <w:rPr>
          <w:sz w:val="20"/>
        </w:rPr>
      </w:pPr>
      <w:r>
        <w:rPr>
          <w:b/>
          <w:bCs/>
          <w:sz w:val="20"/>
        </w:rPr>
        <w:t xml:space="preserve">Confirmation.  </w:t>
      </w:r>
      <w:r>
        <w:rPr>
          <w:sz w:val="20"/>
        </w:rPr>
        <w:t>Section 2.3 is hereby amended by deleting the text in its entirety and substituting the following:</w:t>
      </w:r>
    </w:p>
    <w:p>
      <w:pPr>
        <w:pStyle w:val="BodyText"/>
        <w:jc w:val="both"/>
        <w:rPr>
          <w:sz w:val="20"/>
        </w:rPr>
      </w:pPr>
      <w:r>
        <w:rPr>
          <w:sz w:val="20"/>
        </w:rPr>
        <w:t>Party A may 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3"/>
        </w:numPr>
        <w:tabs>
          <w:tab w:val="clear" w:pos="720"/>
          <w:tab w:val="left" w:pos="360" w:leader="none"/>
        </w:tabs>
        <w:spacing w:before="0" w:after="120"/>
        <w:ind w:hanging="0" w:start="0" w:end="0"/>
        <w:rPr>
          <w:sz w:val="20"/>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Normal"/>
        <w:numPr>
          <w:ilvl w:val="0"/>
          <w:numId w:val="13"/>
        </w:numPr>
        <w:tabs>
          <w:tab w:val="clear" w:pos="720"/>
          <w:tab w:val="left" w:pos="360" w:leader="none"/>
          <w:tab w:val="right" w:pos="6012" w:leader="none"/>
        </w:tabs>
        <w:spacing w:before="0" w:after="120"/>
        <w:ind w:hanging="0" w:start="0" w:end="0"/>
        <w:jc w:val="both"/>
        <w:rPr>
          <w:sz w:val="20"/>
        </w:rPr>
      </w:pPr>
      <w:r>
        <w:rPr>
          <w:b/>
          <w:sz w:val="20"/>
        </w:rPr>
        <w:t>Declaration of an Early Termination Date and Calculation of Settlement Amount</w:t>
      </w:r>
      <w:r>
        <w:rPr>
          <w:sz w:val="20"/>
        </w:rPr>
        <w:t xml:space="preserve">.  Section 5.2 is amended to delete the following phrase from the last two lines: "under applicable law on the Early Termination Date, as soon thereafter as is reasonably practicable)".  </w:t>
      </w:r>
    </w:p>
    <w:p>
      <w:pPr>
        <w:pStyle w:val="coverbody"/>
        <w:tabs>
          <w:tab w:val="clear" w:pos="720"/>
          <w:tab w:val="left" w:pos="360" w:leader="none"/>
          <w:tab w:val="right" w:pos="6012" w:leader="none"/>
        </w:tabs>
        <w:spacing w:before="0" w:after="120"/>
        <w:rPr>
          <w:szCs w:val="24"/>
        </w:rPr>
      </w:pPr>
      <w:r>
        <w:rPr>
          <w:szCs w:val="24"/>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3"/>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szCs w:val="24"/>
        </w:rPr>
      </w:pPr>
      <w:r>
        <w:rPr>
          <w:szCs w:val="24"/>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Normal"/>
        <w:numPr>
          <w:ilvl w:val="0"/>
          <w:numId w:val="13"/>
        </w:numPr>
        <w:tabs>
          <w:tab w:val="clear" w:pos="720"/>
          <w:tab w:val="left" w:pos="360" w:leader="none"/>
        </w:tabs>
        <w:spacing w:before="0" w:after="120"/>
        <w:ind w:hanging="0" w:start="0" w:end="0"/>
        <w:jc w:val="both"/>
        <w:rPr>
          <w:sz w:val="20"/>
        </w:rPr>
      </w:pPr>
      <w:r>
        <w:rPr>
          <w:b/>
          <w:sz w:val="20"/>
        </w:rPr>
        <w:t>Timeliness of Payment</w:t>
      </w:r>
      <w:r>
        <w:rPr>
          <w:sz w:val="20"/>
        </w:rPr>
        <w:t>.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five (5) days after receipt of the invoice or, if such day is not a Business Day, then on the next Business Day."</w:t>
      </w:r>
    </w:p>
    <w:p>
      <w:pPr>
        <w:pStyle w:val="Normal"/>
        <w:numPr>
          <w:ilvl w:val="0"/>
          <w:numId w:val="13"/>
        </w:numPr>
        <w:tabs>
          <w:tab w:val="clear" w:pos="720"/>
          <w:tab w:val="left" w:pos="360" w:leader="none"/>
        </w:tabs>
        <w:spacing w:before="0" w:after="120"/>
        <w:ind w:hanging="0" w:start="0" w:end="0"/>
        <w:jc w:val="both"/>
        <w:rPr>
          <w:sz w:val="20"/>
        </w:rPr>
      </w:pPr>
      <w:r>
        <w:rPr>
          <w:b/>
          <w:sz w:val="20"/>
        </w:rPr>
        <w:t>Limitation of Remedies, Liability and Damages.</w:t>
      </w:r>
      <w:r>
        <w:rPr>
          <w:sz w:val="20"/>
        </w:rPr>
        <w:t xml:space="preserve">  The fifteenth line of Section 7.1 is amended to delete the phrase "UNLESS EXPRESSLY HEREIN PROVIDED,".</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8.1(d) is amended to add the following phrase after the phrase "or other credit assurance acceptable to Party A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three (3) Business Days of receipt of notice":  "or fails to maintain such Performance Assurance or guaranty or other credit assurance for so long as the Downgrade Event is continuing".</w:t>
      </w:r>
    </w:p>
    <w:p>
      <w:pPr>
        <w:pStyle w:val="Normal"/>
        <w:numPr>
          <w:ilvl w:val="0"/>
          <w:numId w:val="13"/>
        </w:numPr>
        <w:tabs>
          <w:tab w:val="clear" w:pos="720"/>
          <w:tab w:val="left" w:pos="360" w:leader="none"/>
        </w:tabs>
        <w:spacing w:before="0" w:after="120"/>
        <w:ind w:hanging="0" w:start="0" w:end="0"/>
        <w:jc w:val="both"/>
        <w:rPr>
          <w:sz w:val="20"/>
        </w:rPr>
      </w:pPr>
      <w:r>
        <w:rPr>
          <w:b/>
          <w:bCs/>
          <w:sz w:val="20"/>
          <w:szCs w:val="20"/>
        </w:rPr>
        <w:t>Confidentiality</w:t>
      </w:r>
      <w:r>
        <w:rPr>
          <w:sz w:val="20"/>
          <w:szCs w:val="20"/>
        </w:rPr>
        <w:t>.  Section 10.11 is amended to add the phrase "or the completed Cover Sheet to this Master Agreement" immediately before the phrase "to a third party" and to add the phrase "or the Party's Affiliates'" immediately after the phrase "(other than the Party's".</w:t>
      </w:r>
    </w:p>
    <w:p>
      <w:pPr>
        <w:pStyle w:val="BodyText"/>
        <w:numPr>
          <w:ilvl w:val="0"/>
          <w:numId w:val="13"/>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3"/>
        </w:numPr>
        <w:tabs>
          <w:tab w:val="clear" w:pos="720"/>
          <w:tab w:val="left" w:pos="360" w:leader="none"/>
        </w:tabs>
        <w:ind w:hanging="0" w:start="0" w:end="0"/>
        <w:jc w:val="both"/>
        <w:rPr>
          <w:sz w:val="20"/>
        </w:rPr>
      </w:pPr>
      <w:r>
        <w:rPr>
          <w:b/>
          <w:bCs/>
          <w:sz w:val="20"/>
        </w:rPr>
        <w:t>Index Transactions</w:t>
      </w:r>
      <w:r>
        <w:rPr>
          <w:sz w:val="20"/>
        </w:rPr>
        <w:t xml:space="preserve">.  The following provision is added as Section 10.13:  </w:t>
      </w:r>
    </w:p>
    <w:p>
      <w:pPr>
        <w:pStyle w:val="Normal"/>
        <w:numPr>
          <w:ilvl w:val="0"/>
          <w:numId w:val="12"/>
        </w:numPr>
        <w:spacing w:before="0" w:after="120"/>
        <w:jc w:val="both"/>
        <w:rPr>
          <w:sz w:val="20"/>
        </w:rPr>
      </w:pPr>
      <w:r>
        <w:rPr>
          <w:b/>
          <w:bCs/>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w:t>
      </w:r>
      <w:r>
        <w:rPr>
          <w:bCs/>
          <w:sz w:val="20"/>
        </w:rPr>
        <w:t>first Trading Day thereafter on which no Market Disruption Event exists</w:t>
      </w:r>
      <w:r>
        <w:rPr>
          <w:sz w:val="20"/>
        </w:rPr>
        <w:t xml:space="preserve">;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bCs/>
          <w:sz w:val="20"/>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bCs/>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bCs/>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bCs/>
          <w:sz w:val="20"/>
        </w:rPr>
      </w:pPr>
      <w:r>
        <w:rPr>
          <w:b/>
          <w:bCs/>
          <w:sz w:val="20"/>
        </w:rPr>
        <w:t xml:space="preserve">Part 2.   </w:t>
      </w:r>
      <w:r>
        <w:rPr>
          <w:b/>
          <w:bCs/>
          <w:sz w:val="20"/>
          <w:u w:val="single"/>
        </w:rPr>
        <w:t>SCHEDULE P</w:t>
      </w:r>
    </w:p>
    <w:p>
      <w:pPr>
        <w:pStyle w:val="Signature-dbl"/>
        <w:jc w:val="both"/>
        <w:rPr>
          <w:sz w:val="20"/>
        </w:rPr>
      </w:pPr>
      <w:r>
        <w:rPr>
          <w:sz w:val="20"/>
        </w:rPr>
        <w:t>The following definitions are hereby added to Schedule P:</w:t>
      </w:r>
    </w:p>
    <w:p>
      <w:pPr>
        <w:pStyle w:val="BodyText2"/>
        <w:jc w:val="both"/>
        <w:rPr>
          <w:b w:val="false"/>
          <w:bCs w:val="false"/>
          <w:szCs w:val="18"/>
        </w:rPr>
      </w:pPr>
      <w:r>
        <w:rPr>
          <w:b w:val="false"/>
          <w:bCs w:val="false"/>
          <w:szCs w:val="18"/>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bCs w:val="false"/>
          <w:szCs w:val="18"/>
        </w:rPr>
      </w:pPr>
      <w:r>
        <w:rPr>
          <w:b w:val="false"/>
          <w:bCs w:val="false"/>
          <w:szCs w:val="18"/>
        </w:rPr>
      </w:r>
    </w:p>
    <w:p>
      <w:pPr>
        <w:pStyle w:val="BodyText2"/>
        <w:jc w:val="both"/>
        <w:rPr>
          <w:b w:val="false"/>
          <w:bCs w:val="false"/>
        </w:rPr>
      </w:pPr>
      <w:r>
        <w:rPr>
          <w:b w:val="false"/>
          <w:bCs w:val="false"/>
          <w:szCs w:val="20"/>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bCs w:val="false"/>
        </w:rPr>
      </w:pPr>
      <w:r>
        <w:rPr>
          <w:b w:val="false"/>
          <w:bCs w:val="false"/>
        </w:rPr>
      </w:r>
    </w:p>
    <w:p>
      <w:pPr>
        <w:pStyle w:val="BodyText2"/>
        <w:jc w:val="both"/>
        <w:rPr>
          <w:b w:val="false"/>
          <w:bCs w:val="false"/>
        </w:rPr>
      </w:pPr>
      <w:r>
        <w:rPr>
          <w:b w:val="false"/>
          <w:bCs w:val="false"/>
        </w:rPr>
        <w:t>"WSCC" means the Western Systems Coordinating Council.</w:t>
      </w:r>
    </w:p>
    <w:p>
      <w:pPr>
        <w:pStyle w:val="BodyText2"/>
        <w:jc w:val="both"/>
        <w:rPr>
          <w:b w:val="false"/>
          <w:bCs w:val="false"/>
        </w:rPr>
      </w:pPr>
      <w:r>
        <w:rPr>
          <w:b w:val="false"/>
          <w:bCs w:val="false"/>
        </w:rPr>
      </w:r>
    </w:p>
    <w:p>
      <w:pPr>
        <w:pStyle w:val="coverbody"/>
        <w:spacing w:before="0" w:after="120"/>
        <w:rPr>
          <w:szCs w:val="24"/>
        </w:rPr>
      </w:pPr>
      <w:r>
        <w:rPr>
          <w:szCs w:val="24"/>
        </w:rPr>
        <w:t>"WSPP Agreement" means the Western Systems Power Pool Agreement as amended from time to time.</w:t>
      </w:r>
    </w:p>
    <w:p>
      <w:pPr>
        <w:pStyle w:val="PlainText"/>
        <w:spacing w:before="0" w:after="120"/>
        <w:rPr>
          <w:szCs w:val="24"/>
        </w:rPr>
      </w:pPr>
      <w:r>
        <w:rPr>
          <w:szCs w:val="24"/>
        </w:rPr>
        <w:t>IN WITNESS WHEREOF, the Parties have caused this Master Agreement to be duly executed as of the date first above written.</w:t>
      </w:r>
    </w:p>
    <w:p>
      <w:pPr>
        <w:pStyle w:val="Signature-dbl"/>
        <w:rPr>
          <w:sz w:val="20"/>
        </w:rPr>
      </w:pPr>
      <w:r>
        <w:rPr>
          <w:sz w:val="20"/>
        </w:rPr>
        <w:t xml:space="preserve">Party A – </w:t>
      </w:r>
      <w:r>
        <w:rPr>
          <w:b/>
          <w:bCs/>
          <w:smallCaps/>
          <w:sz w:val="20"/>
        </w:rPr>
        <w:t>Enron Power Marketing, Inc.</w:t>
      </w:r>
      <w:r>
        <w:rPr>
          <w:sz w:val="20"/>
        </w:rPr>
        <w:tab/>
        <w:tab/>
        <w:t xml:space="preserve">Party B – </w:t>
      </w:r>
      <w:r>
        <w:rPr>
          <w:b/>
          <w:bCs/>
          <w:smallCaps/>
          <w:sz w:val="20"/>
        </w:rPr>
        <w:t>Tucson Electric Power Company</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spacing w:before="0" w:after="240"/>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sectPr>
      <w:footerReference w:type="default" r:id="rId2"/>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30z0">
    <w:name w:val="WW8Num30z0"/>
    <w:qFormat/>
    <w:rPr/>
  </w:style>
  <w:style w:type="character" w:styleId="WW8Num31z0">
    <w:name w:val="WW8Num31z0"/>
    <w:qFormat/>
    <w:rPr/>
  </w:style>
  <w:style w:type="character" w:styleId="WW8Num31z1">
    <w:name w:val="WW8Num31z1"/>
    <w:qFormat/>
    <w:rPr>
      <w:rFonts w:ascii="Times New Roman" w:hAnsi="Times New Roman" w:cs="Times New Roman"/>
      <w:b w:val="false"/>
      <w:i w:val="false"/>
      <w:sz w:val="24"/>
      <w:u w:val="none"/>
    </w:rPr>
  </w:style>
  <w:style w:type="character" w:styleId="WW8Num31z2">
    <w:name w:val="WW8Num31z2"/>
    <w:qFormat/>
    <w:rPr>
      <w:rFonts w:ascii="Times New Roman" w:hAnsi="Times New Roman" w:cs="Times New Roman"/>
      <w:b w:val="false"/>
      <w:i w:val="false"/>
      <w:sz w:val="24"/>
    </w:rPr>
  </w:style>
  <w:style w:type="character" w:styleId="WW8Num31z5">
    <w:name w:val="WW8Num31z5"/>
    <w:qFormat/>
    <w:rPr>
      <w:rFonts w:ascii="Times New Roman" w:hAnsi="Times New Roman" w:cs="Times New Roman"/>
      <w:b/>
      <w:i w:val="false"/>
      <w:sz w:val="24"/>
      <w:u w:val="none"/>
    </w:rPr>
  </w:style>
  <w:style w:type="character" w:styleId="WW8Num32z0">
    <w:name w:val="WW8Num32z0"/>
    <w:qFormat/>
    <w:rPr/>
  </w:style>
  <w:style w:type="character" w:styleId="WW8Num33z0">
    <w:name w:val="WW8Num33z0"/>
    <w:qFormat/>
    <w:rPr>
      <w:rFonts w:ascii="Times New Roman" w:hAnsi="Times New Roman" w:cs="Times New Roman"/>
      <w:b/>
      <w:i w:val="false"/>
      <w:caps/>
      <w:sz w:val="24"/>
    </w:rPr>
  </w:style>
  <w:style w:type="character" w:styleId="WW8Num33z1">
    <w:name w:val="WW8Num33z1"/>
    <w:qFormat/>
    <w:rPr>
      <w:rFonts w:ascii="Times New Roman" w:hAnsi="Times New Roman" w:cs="Times New Roman"/>
      <w:b w:val="false"/>
      <w:i w:val="false"/>
      <w:sz w:val="24"/>
      <w:u w:val="none"/>
    </w:rPr>
  </w:style>
  <w:style w:type="character" w:styleId="WW8Num33z2">
    <w:name w:val="WW8Num33z2"/>
    <w:qFormat/>
    <w:rPr>
      <w:rFonts w:ascii="Times New Roman" w:hAnsi="Times New Roman" w:cs="Times New Roman"/>
      <w:b w:val="false"/>
      <w:i w:val="false"/>
      <w:sz w:val="24"/>
    </w:rPr>
  </w:style>
  <w:style w:type="character" w:styleId="WW8Num33z5">
    <w:name w:val="WW8Num33z5"/>
    <w:qFormat/>
    <w:rPr>
      <w:rFonts w:ascii="Times New Roman" w:hAnsi="Times New Roman" w:cs="Times New Roman"/>
      <w:b/>
      <w:i w:val="false"/>
      <w:sz w:val="24"/>
      <w:u w:val="none"/>
    </w:rPr>
  </w:style>
  <w:style w:type="character" w:styleId="WW8Num34z0">
    <w:name w:val="WW8Num34z0"/>
    <w:qFormat/>
    <w:rPr/>
  </w:style>
  <w:style w:type="character" w:styleId="WW8Num35z0">
    <w:name w:val="WW8Num35z0"/>
    <w:qFormat/>
    <w:rPr>
      <w:b w:val="false"/>
    </w:rPr>
  </w:style>
  <w:style w:type="character" w:styleId="WW8Num36z0">
    <w:name w:val="WW8Num36z0"/>
    <w:qFormat/>
    <w:rPr/>
  </w:style>
  <w:style w:type="character" w:styleId="WW8Num38z0">
    <w:name w:val="WW8Num38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2001-01-18T13:44:00Z</dcterms:created>
  <dc:creator>jmoore2</dc:creator>
  <dc:description/>
  <dc:language>en-CA</dc:language>
  <cp:lastModifiedBy>gfitzge</cp:lastModifiedBy>
  <cp:lastPrinted>2001-01-18T13:48:00Z</cp:lastPrinted>
  <dcterms:modified xsi:type="dcterms:W3CDTF">2001-01-18T17:21:00Z</dcterms:modified>
  <cp:revision>4</cp:revision>
  <dc:subject/>
  <dc:title>MASTER POWER PURCHASE AND SALE AGREEMENT</dc:title>
</cp:coreProperties>
</file>