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G:\DMS\NY01\MUKUNAH\TRUST\63235481.03</w:t>
      </w:r>
    </w:p>
    <w:p>
      <w:pPr>
        <w:pStyle w:val="Normal"/>
        <w:widowControl w:val="false"/>
        <w:suppressAutoHyphens w:val="true"/>
        <w:bidi w:val="0"/>
        <w:jc w:val="start"/>
        <w:rPr/>
      </w:pPr>
      <w:r>
        <w:rPr/>
        <w:t>and revised document: G:\DMS\NY01\MUKUNAH\TRUST\63235481.05</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331 change(s) and      1 move(s) in the text</w:t>
      </w:r>
    </w:p>
    <w:p>
      <w:pPr>
        <w:pStyle w:val="Normal"/>
        <w:widowControl w:val="false"/>
        <w:suppressAutoHyphens w:val="true"/>
        <w:bidi w:val="0"/>
        <w:jc w:val="start"/>
        <w:rPr/>
      </w:pPr>
      <w:r>
        <w:rPr/>
        <w:t>CompareRite found      16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footerReference w:type="even" r:id="rId2"/>
          <w:footerReference w:type="default" r:id="rId3"/>
          <w:footerReference w:type="first" r:id="rId4"/>
          <w:type w:val="nextPage"/>
          <w:pgSz w:w="12240" w:h="15840"/>
          <w:pgMar w:left="1440" w:right="1440" w:gutter="0" w:header="0" w:top="1440" w:footer="432" w:bottom="1440"/>
          <w:pgNumType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Normal"/>
        <w:widowControl/>
        <w:bidi w:val="0"/>
        <w:jc w:val="end"/>
        <w:rPr>
          <w:sz w:val="20"/>
        </w:rPr>
      </w:pPr>
      <w:r>
        <w:rPr>
          <w:sz w:val="20"/>
        </w:rPr>
        <w:t>WSPR</w:t>
      </w:r>
    </w:p>
    <w:p>
      <w:pPr>
        <w:pStyle w:val="Normal"/>
        <w:widowControl/>
        <w:bidi w:val="0"/>
        <w:jc w:val="end"/>
        <w:rPr>
          <w:sz w:val="20"/>
        </w:rPr>
      </w:pPr>
      <w:r>
        <w:rPr>
          <w:sz w:val="20"/>
        </w:rPr>
        <w:t>DRAFT</w:t>
      </w:r>
    </w:p>
    <w:p>
      <w:pPr>
        <w:pStyle w:val="Normal"/>
        <w:widowControl/>
        <w:bidi w:val="0"/>
        <w:jc w:val="end"/>
        <w:rPr>
          <w:sz w:val="20"/>
        </w:rPr>
      </w:pPr>
      <w:r>
        <w:rPr>
          <w:strike/>
          <w:sz w:val="20"/>
        </w:rPr>
        <w:t>5/21/00</w:t>
      </w:r>
      <w:r>
        <w:rPr>
          <w:sz w:val="20"/>
        </w:rPr>
        <w:t xml:space="preserve"> </w:t>
      </w:r>
      <w:r>
        <w:rPr>
          <w:sz w:val="20"/>
          <w:u w:val="double"/>
        </w:rPr>
        <w:t>5/30/00</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t>TRUST AGREEMENT</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between</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ENRON CORP.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and</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THE BANK OF NEW YORK,</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 xml:space="preserve">as Trustee </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u w:val="double"/>
        </w:rPr>
        <w:t>of the Enron Pass-Through Asset Trust 2000-1</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t xml:space="preserve">Dated as of </w:t>
      </w:r>
      <w:r>
        <w:rPr>
          <w:strike/>
        </w:rPr>
        <w:t>________</w:t>
      </w:r>
      <w:r>
        <w:rPr>
          <w:u w:val="double"/>
        </w:rPr>
        <w:t>June 1</w:t>
      </w:r>
      <w:r>
        <w:rPr/>
        <w:t>, 2000</w:t>
      </w:r>
    </w:p>
    <w:p>
      <w:pPr>
        <w:sectPr>
          <w:footerReference w:type="default" r:id="rId5"/>
          <w:footerReference w:type="first" r:id="rId6"/>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jc w:val="start"/>
        <w:rPr/>
      </w:pPr>
      <w:r>
        <w:rPr/>
      </w:r>
    </w:p>
    <w:p>
      <w:pPr>
        <w:pStyle w:val="BodyTextFirstIndent"/>
        <w:widowControl/>
        <w:bidi w:val="0"/>
        <w:ind w:firstLine="720"/>
        <w:jc w:val="both"/>
        <w:rPr>
          <w:rFonts w:ascii="Times New Roman" w:hAnsi="Times New Roman"/>
        </w:rPr>
      </w:pPr>
      <w:r>
        <w:rPr/>
        <w:t xml:space="preserve">TRUST AGREEMENT dated as of </w:t>
      </w:r>
      <w:r>
        <w:rPr>
          <w:strike/>
        </w:rPr>
        <w:t>_____,</w:t>
      </w:r>
      <w:r>
        <w:rPr/>
        <w:t xml:space="preserve"> </w:t>
      </w:r>
      <w:r>
        <w:rPr>
          <w:u w:val="double"/>
        </w:rPr>
        <w:t>June 1,</w:t>
      </w:r>
      <w:r>
        <w:rPr/>
        <w:t xml:space="preserve"> 2000</w:t>
      </w:r>
      <w:r>
        <w:rPr>
          <w:strike/>
        </w:rPr>
        <w:t>,</w:t>
      </w:r>
      <w:r>
        <w:rPr/>
        <w:t xml:space="preserve"> between Enron Corp., an Oregon corporation (the “Company”), and The Bank of New York, a banking corporation duly organized and existing under the laws of New York, as trustee (the “Trustee”) </w:t>
      </w:r>
      <w:r>
        <w:rPr>
          <w:u w:val="double"/>
        </w:rPr>
        <w:t>of the Enron Pass-Through Asset Trust 2000-1 (the “Trust”)</w:t>
      </w:r>
      <w:r>
        <w:rPr/>
        <w:t>.</w:t>
      </w:r>
    </w:p>
    <w:p>
      <w:pPr>
        <w:pStyle w:val="BodyText"/>
        <w:widowControl/>
        <w:bidi w:val="0"/>
        <w:jc w:val="center"/>
        <w:rPr>
          <w:rFonts w:ascii="Times New Roman" w:hAnsi="Times New Roman"/>
        </w:rPr>
      </w:pPr>
      <w:r>
        <w:rPr/>
        <w:t>W I T N E S S E T H</w:t>
      </w:r>
    </w:p>
    <w:p>
      <w:pPr>
        <w:pStyle w:val="BodyTextFirstIndent"/>
        <w:widowControl/>
        <w:bidi w:val="0"/>
        <w:ind w:firstLine="720"/>
        <w:jc w:val="both"/>
        <w:rPr>
          <w:rFonts w:ascii="Times New Roman" w:hAnsi="Times New Roman"/>
        </w:rPr>
      </w:pPr>
      <w:r>
        <w:rPr/>
        <w:t xml:space="preserve">WHEREAS, </w:t>
      </w:r>
      <w:r>
        <w:rPr>
          <w:strike/>
        </w:rPr>
        <w:t>Enron</w:t>
      </w:r>
      <w:r>
        <w:rPr/>
        <w:t xml:space="preserve"> </w:t>
      </w:r>
      <w:r>
        <w:rPr>
          <w:u w:val="double"/>
        </w:rPr>
        <w:t>the Company</w:t>
      </w:r>
      <w:r>
        <w:rPr/>
        <w:t xml:space="preserve"> and the Trustee have duly authorized the execution and delivery of this Agreement to create and establish a new trust to be known as the Enron Pass-Through Asset Trust 2000-1 and trust certificates to be issued thereby, which certificates shall be known as the ___% Pass-Through Asset Trust Securities Due </w:t>
      </w:r>
      <w:r>
        <w:rPr>
          <w:strike/>
        </w:rPr>
        <w:t>_______</w:t>
      </w:r>
      <w:r>
        <w:rPr>
          <w:u w:val="double"/>
        </w:rPr>
        <w:t>June 15, 2003</w:t>
      </w:r>
      <w:r>
        <w:rPr/>
        <w:t xml:space="preserve"> (the “Certificates”), and </w:t>
      </w:r>
      <w:r>
        <w:rPr>
          <w:strike/>
        </w:rPr>
        <w:t>Enron</w:t>
      </w:r>
      <w:r>
        <w:rPr/>
        <w:t xml:space="preserve"> </w:t>
      </w:r>
      <w:r>
        <w:rPr>
          <w:u w:val="double"/>
        </w:rPr>
        <w:t>the Company</w:t>
      </w:r>
      <w:r>
        <w:rPr/>
        <w:t xml:space="preserve"> and the Trustee shall herein specify certain terms and conditions in respect thereof.</w:t>
      </w:r>
    </w:p>
    <w:p>
      <w:pPr>
        <w:pStyle w:val="BodyTextFirstIndent"/>
        <w:widowControl/>
        <w:bidi w:val="0"/>
        <w:ind w:firstLine="720"/>
        <w:jc w:val="both"/>
        <w:rPr>
          <w:rFonts w:ascii="Times New Roman" w:hAnsi="Times New Roman"/>
        </w:rPr>
      </w:pPr>
      <w:r>
        <w:rPr/>
        <w:t xml:space="preserve">WHEREAS, the Certificates shall have an aggregate Initial Certificate Principal Balance of $[350,000,000] and shall entitle the holders thereof (the “Holders”) to distributions thereon to the extent of (a) collections on £_______ principal amount of Reset Senior Notes Due </w:t>
      </w:r>
      <w:r>
        <w:rPr>
          <w:strike/>
        </w:rPr>
        <w:t>_______</w:t>
      </w:r>
      <w:r>
        <w:rPr>
          <w:u w:val="double"/>
        </w:rPr>
        <w:t>June 15, 2028</w:t>
      </w:r>
      <w:r>
        <w:rPr/>
        <w:t xml:space="preserve"> issued by </w:t>
      </w:r>
      <w:r>
        <w:rPr>
          <w:strike/>
        </w:rPr>
        <w:t>Enron</w:t>
      </w:r>
      <w:r>
        <w:rPr/>
        <w:t xml:space="preserve"> </w:t>
      </w:r>
      <w:r>
        <w:rPr>
          <w:u w:val="double"/>
        </w:rPr>
        <w:t>the Company</w:t>
      </w:r>
      <w:r>
        <w:rPr/>
        <w:t xml:space="preserve"> (the “Notes”), (b) Dollar Swap Payments by the Swap Counterparty with respect to the Currency Swap received by the </w:t>
      </w:r>
      <w:r>
        <w:rPr>
          <w:strike/>
        </w:rPr>
        <w:t>Trustee</w:t>
      </w:r>
      <w:r>
        <w:rPr/>
        <w:t xml:space="preserve"> </w:t>
      </w:r>
      <w:r>
        <w:rPr>
          <w:u w:val="double"/>
        </w:rPr>
        <w:t>Trust</w:t>
      </w:r>
      <w:r>
        <w:rPr/>
        <w:t xml:space="preserve"> and (c) any other funds contained in the Certificate Account to the extent set forth herein.</w:t>
      </w:r>
    </w:p>
    <w:p>
      <w:pPr>
        <w:pStyle w:val="BodyTextFirstIndent"/>
        <w:widowControl/>
        <w:bidi w:val="0"/>
        <w:ind w:firstLine="720"/>
        <w:jc w:val="both"/>
        <w:rPr>
          <w:rFonts w:ascii="Times New Roman" w:hAnsi="Times New Roman"/>
        </w:rPr>
      </w:pPr>
      <w:r>
        <w:rPr/>
        <w:t xml:space="preserve">WHEREAS, all representations, covenants and agreements made herein by each of </w:t>
      </w:r>
      <w:r>
        <w:rPr>
          <w:strike/>
        </w:rPr>
        <w:t>Enron</w:t>
      </w:r>
      <w:r>
        <w:rPr/>
        <w:t xml:space="preserve"> </w:t>
      </w:r>
      <w:r>
        <w:rPr>
          <w:u w:val="double"/>
        </w:rPr>
        <w:t>the Company</w:t>
      </w:r>
      <w:r>
        <w:rPr/>
        <w:t xml:space="preserve"> and the Trustee are for the benefit and security of the Certificateholders.</w:t>
      </w:r>
    </w:p>
    <w:p>
      <w:pPr>
        <w:pStyle w:val="BodyTextFirstIndent"/>
        <w:widowControl/>
        <w:bidi w:val="0"/>
        <w:ind w:firstLine="720"/>
        <w:jc w:val="both"/>
        <w:rPr>
          <w:rFonts w:ascii="Times New Roman" w:hAnsi="Times New Roman"/>
        </w:rPr>
      </w:pPr>
      <w:r>
        <w:rPr/>
        <w:t xml:space="preserve">NOW, THEREFORE, in consideration of the agreements and obligations set forth herein and for other good and valuable consideration, the receipt and sufficiency of which are hereby acknowledged, each party, for the benefit of the other </w:t>
      </w:r>
      <w:r>
        <w:rPr>
          <w:strike/>
        </w:rPr>
        <w:t>parties</w:t>
      </w:r>
      <w:r>
        <w:rPr/>
        <w:t xml:space="preserve"> </w:t>
      </w:r>
      <w:r>
        <w:rPr>
          <w:u w:val="double"/>
        </w:rPr>
        <w:t>party</w:t>
      </w:r>
      <w:r>
        <w:rPr/>
        <w:t xml:space="preserve"> and for the benefit of the Certificateholders, hereby agrees as follows:</w:t>
      </w:r>
    </w:p>
    <w:p>
      <w:pPr>
        <w:pStyle w:val="Heading1"/>
        <w:widowControl/>
        <w:numPr>
          <w:ilvl w:val="0"/>
          <w:numId w:val="0"/>
        </w:numPr>
        <w:bidi w:val="0"/>
        <w:outlineLvl w:val="0"/>
        <w:rPr>
          <w:rFonts w:ascii="Times New Roman" w:hAnsi="Times New Roman"/>
        </w:rPr>
      </w:pPr>
      <w:r>
        <w:rPr>
          <w:caps/>
          <w:u w:val="none"/>
        </w:rPr>
        <w:t xml:space="preserve">Article I </w:t>
      </w:r>
      <w:r>
        <w:rPr/>
        <w:br/>
        <w:br/>
      </w:r>
      <w:bookmarkStart w:id="0" w:name="_Toc484274566"/>
      <w:r>
        <w:rPr/>
        <w:t>Definitions and Assumptions</w:t>
      </w:r>
      <w:bookmarkEnd w:id="0"/>
    </w:p>
    <w:p>
      <w:pPr>
        <w:pStyle w:val="Heading2"/>
        <w:widowControl/>
        <w:numPr>
          <w:ilvl w:val="0"/>
          <w:numId w:val="0"/>
        </w:numPr>
        <w:bidi w:val="0"/>
        <w:ind w:firstLine="720"/>
        <w:jc w:val="both"/>
        <w:outlineLvl w:val="1"/>
        <w:rPr>
          <w:rFonts w:ascii="Times New Roman" w:hAnsi="Times New Roman"/>
          <w:vanish/>
        </w:rPr>
      </w:pPr>
      <w:r>
        <w:rPr>
          <w:caps/>
          <w:u w:val="none"/>
        </w:rPr>
        <w:t>Section 1.1  </w:t>
        <w:tab/>
      </w:r>
      <w:bookmarkStart w:id="1" w:name="_Toc484274567"/>
      <w:r>
        <w:rPr/>
        <w:t>Definitions</w:t>
      </w:r>
      <w:bookmarkEnd w:id="1"/>
    </w:p>
    <w:p>
      <w:pPr>
        <w:pStyle w:val="BodyText"/>
        <w:widowControl/>
        <w:bidi w:val="0"/>
        <w:ind w:firstLine="720"/>
        <w:jc w:val="both"/>
        <w:rPr>
          <w:rFonts w:ascii="Times New Roman" w:hAnsi="Times New Roman"/>
        </w:rPr>
      </w:pPr>
      <w:r>
        <w:rPr/>
        <w:t>. Except as otherwise specified herein or as the context may otherwise require, the following terms have the respective meanings set forth below for all purposes of this Agreement.</w:t>
      </w:r>
    </w:p>
    <w:p>
      <w:pPr>
        <w:pStyle w:val="BodyTextFirstIndent"/>
        <w:widowControl/>
        <w:bidi w:val="0"/>
        <w:ind w:firstLine="720"/>
        <w:jc w:val="both"/>
        <w:rPr>
          <w:rFonts w:ascii="Times New Roman" w:hAnsi="Times New Roman"/>
        </w:rPr>
      </w:pPr>
      <w:r>
        <w:rPr/>
        <w:t>“</w:t>
      </w:r>
      <w:r>
        <w:rPr>
          <w:u w:val="single"/>
        </w:rPr>
        <w:t>Affiliate</w:t>
      </w:r>
      <w:r>
        <w:rPr/>
        <w:t>”: With respect to any specified Person, any other Person directly or indirectly controlling or controlled by or under direct or indirect common control with such specified Person. For the purposes of this definition, “control,” when used with respect to any specified Person, means the power to direct the management and policies of such Person, directly or indirectly, whether through the ownership of voting securities, by contract or otherwise; and the terms “controlling” and “controlled” have meanings correlative to the foregoing.</w:t>
      </w:r>
    </w:p>
    <w:p>
      <w:pPr>
        <w:pStyle w:val="BodyTextFirstIndent"/>
        <w:widowControl/>
        <w:bidi w:val="0"/>
        <w:ind w:firstLine="720"/>
        <w:jc w:val="both"/>
        <w:rPr>
          <w:rFonts w:ascii="Times New Roman" w:hAnsi="Times New Roman"/>
        </w:rPr>
      </w:pPr>
      <w:r>
        <w:rPr/>
        <w:t>“</w:t>
      </w:r>
      <w:r>
        <w:rPr>
          <w:u w:val="single"/>
        </w:rPr>
        <w:t>Agreement</w:t>
      </w:r>
      <w:r>
        <w:rPr/>
        <w:t>”: This Agreement and all modifications or amendments hereof, including the terms of the Certificates.</w:t>
      </w:r>
    </w:p>
    <w:p>
      <w:pPr>
        <w:pStyle w:val="BodyTextFirstIndent"/>
        <w:widowControl/>
        <w:bidi w:val="0"/>
        <w:ind w:firstLine="720"/>
        <w:jc w:val="both"/>
        <w:rPr>
          <w:rFonts w:ascii="Times New Roman" w:hAnsi="Times New Roman"/>
        </w:rPr>
      </w:pPr>
      <w:r>
        <w:rPr/>
        <w:t>“</w:t>
      </w:r>
      <w:r>
        <w:rPr>
          <w:u w:val="single"/>
        </w:rPr>
        <w:t>Applicable Procedures</w:t>
      </w:r>
      <w:r>
        <w:rPr/>
        <w:t>”: As defined in Section 5.2(b).</w:t>
      </w:r>
    </w:p>
    <w:p>
      <w:pPr>
        <w:pStyle w:val="BodyTextFirstIndent"/>
        <w:widowControl/>
        <w:bidi w:val="0"/>
        <w:ind w:firstLine="720"/>
        <w:jc w:val="both"/>
        <w:rPr>
          <w:rFonts w:ascii="Times New Roman" w:hAnsi="Times New Roman"/>
        </w:rPr>
      </w:pPr>
      <w:r>
        <w:rPr/>
        <w:t>“</w:t>
      </w:r>
      <w:r>
        <w:rPr>
          <w:u w:val="single"/>
        </w:rPr>
        <w:t>Authenticating Agent</w:t>
      </w:r>
      <w:r>
        <w:rPr/>
        <w:t>”: As defined in Section 6.12.</w:t>
      </w:r>
    </w:p>
    <w:p>
      <w:pPr>
        <w:pStyle w:val="BodyTextFirstIndent"/>
        <w:widowControl/>
        <w:bidi w:val="0"/>
        <w:ind w:firstLine="720"/>
        <w:jc w:val="both"/>
        <w:rPr>
          <w:rFonts w:ascii="Times New Roman" w:hAnsi="Times New Roman"/>
        </w:rPr>
      </w:pPr>
      <w:r>
        <w:rPr/>
        <w:t>“</w:t>
      </w:r>
      <w:r>
        <w:rPr>
          <w:u w:val="single"/>
        </w:rPr>
        <w:t>Available Funds</w:t>
      </w:r>
      <w:r>
        <w:rPr/>
        <w:t xml:space="preserve">”: For any Distribution Date, the aggregate amount deposited in the Certificate Account since the last Distribution Date with respect to (a) for so long as the Notes are denominated in Pounds Sterling and no Swap Termination Event has occurred, any Dollar Swap Payment or other US Dollar amount paid by the Swap Counterparty to the </w:t>
      </w:r>
      <w:r>
        <w:rPr>
          <w:strike/>
        </w:rPr>
        <w:t>Trustee</w:t>
      </w:r>
      <w:r>
        <w:rPr/>
        <w:t xml:space="preserve"> </w:t>
      </w:r>
      <w:r>
        <w:rPr>
          <w:u w:val="double"/>
        </w:rPr>
        <w:t>Trust</w:t>
      </w:r>
      <w:r>
        <w:rPr/>
        <w:t xml:space="preserve"> under the Currency Swap, (b) if a Swap Termination Event (other than as a result of a Conversion Event) has occurred, the semi-annual </w:t>
      </w:r>
      <w:r>
        <w:rPr>
          <w:u w:val="double"/>
        </w:rPr>
        <w:t>Pounds Sterling</w:t>
      </w:r>
      <w:r>
        <w:rPr/>
        <w:t xml:space="preserve"> interest payments on the Notes and </w:t>
      </w:r>
      <w:r>
        <w:rPr>
          <w:u w:val="double"/>
        </w:rPr>
        <w:t>Pounds Sterling</w:t>
      </w:r>
      <w:r>
        <w:rPr/>
        <w:t xml:space="preserve"> payments on or in respect of the principal of the Notes made by </w:t>
      </w:r>
      <w:r>
        <w:rPr>
          <w:strike/>
        </w:rPr>
        <w:t>Enron</w:t>
      </w:r>
      <w:r>
        <w:rPr/>
        <w:t xml:space="preserve"> </w:t>
      </w:r>
      <w:r>
        <w:rPr>
          <w:u w:val="double"/>
        </w:rPr>
        <w:t>the Company</w:t>
      </w:r>
      <w:r>
        <w:rPr/>
        <w:t xml:space="preserve">    thereunder and received by the </w:t>
      </w:r>
      <w:r>
        <w:rPr>
          <w:strike/>
        </w:rPr>
        <w:t>Trustee</w:t>
      </w:r>
      <w:r>
        <w:rPr/>
        <w:t xml:space="preserve"> </w:t>
      </w:r>
      <w:r>
        <w:rPr>
          <w:u w:val="double"/>
        </w:rPr>
        <w:t>Trust</w:t>
      </w:r>
      <w:r>
        <w:rPr/>
        <w:t xml:space="preserve"> in respect of the Notes, </w:t>
      </w:r>
      <w:r>
        <w:rPr>
          <w:u w:val="double"/>
        </w:rPr>
        <w:t>or</w:t>
      </w:r>
      <w:r>
        <w:rPr/>
        <w:t xml:space="preserve"> if applicable, any Swap Termination Payment (subject to Section 6.13) or Unpaid Amounts, (c) if a Conversion Event has occurred, the semi-annual </w:t>
      </w:r>
      <w:r>
        <w:rPr>
          <w:u w:val="double"/>
        </w:rPr>
        <w:t>US Dollar</w:t>
      </w:r>
      <w:r>
        <w:rPr/>
        <w:t xml:space="preserve"> interest payments on the Notes and payments on or in respect of the principal of the Notes made by the Company thereunder and received by the </w:t>
      </w:r>
      <w:r>
        <w:rPr>
          <w:strike/>
        </w:rPr>
        <w:t>Trustee</w:t>
      </w:r>
      <w:r>
        <w:rPr/>
        <w:t xml:space="preserve"> </w:t>
      </w:r>
      <w:r>
        <w:rPr>
          <w:u w:val="double"/>
        </w:rPr>
        <w:t>Trust</w:t>
      </w:r>
      <w:r>
        <w:rPr/>
        <w:t xml:space="preserve"> in respect of the Notes or, if applicable, any Unpaid Amounts, (d) all </w:t>
      </w:r>
      <w:r>
        <w:rPr>
          <w:strike/>
        </w:rPr>
        <w:t>Option</w:t>
      </w:r>
      <w:r>
        <w:rPr/>
        <w:t xml:space="preserve"> </w:t>
      </w:r>
      <w:r>
        <w:rPr>
          <w:u w:val="double"/>
        </w:rPr>
        <w:t>Exercise</w:t>
      </w:r>
      <w:r>
        <w:rPr/>
        <w:t xml:space="preserve"> Proceeds and (e) all Liquidation Proceeds.</w:t>
      </w:r>
    </w:p>
    <w:p>
      <w:pPr>
        <w:pStyle w:val="BodyTextFirstIndent"/>
        <w:widowControl/>
        <w:bidi w:val="0"/>
        <w:ind w:firstLine="720"/>
        <w:jc w:val="both"/>
        <w:rPr>
          <w:rFonts w:ascii="Times New Roman" w:hAnsi="Times New Roman"/>
        </w:rPr>
      </w:pPr>
      <w:r>
        <w:rPr/>
        <w:t>“</w:t>
      </w:r>
      <w:r>
        <w:rPr>
          <w:u w:val="single"/>
        </w:rPr>
        <w:t>Board of Directors</w:t>
      </w:r>
      <w:r>
        <w:rPr/>
        <w:t>”: Either the Board of Directors of the Company or any committee of such Board duly authorized to act on behalf of such Board.</w:t>
      </w:r>
    </w:p>
    <w:p>
      <w:pPr>
        <w:pStyle w:val="BodyTextFirstIndent"/>
        <w:widowControl/>
        <w:bidi w:val="0"/>
        <w:ind w:firstLine="720"/>
        <w:jc w:val="both"/>
        <w:rPr>
          <w:rFonts w:ascii="Times New Roman" w:hAnsi="Times New Roman"/>
        </w:rPr>
      </w:pPr>
      <w:r>
        <w:rPr/>
        <w:t>“</w:t>
      </w:r>
      <w:r>
        <w:rPr>
          <w:u w:val="single"/>
        </w:rPr>
        <w:t>Business Day</w:t>
      </w:r>
      <w:r>
        <w:rPr/>
        <w:t>”: With respect to (a) the Call Option, as defined therein, (b) the Currency Swap, as defined therein, (c) the Notes, as defined in the Indenture and (d) this Trust Agreement, each day that is not a Saturday, Sunday or a day on which banking institutions and foreign exchange markets in New York or London, as applicable, are authorized or obligated by law to remain closed.</w:t>
      </w:r>
    </w:p>
    <w:p>
      <w:pPr>
        <w:pStyle w:val="BodyTextFirstIndent"/>
        <w:widowControl/>
        <w:bidi w:val="0"/>
        <w:ind w:firstLine="720"/>
        <w:jc w:val="both"/>
        <w:rPr>
          <w:rFonts w:ascii="Times New Roman" w:hAnsi="Times New Roman"/>
        </w:rPr>
      </w:pPr>
      <w:r>
        <w:rPr/>
        <w:t>“</w:t>
      </w:r>
      <w:r>
        <w:rPr>
          <w:u w:val="single"/>
        </w:rPr>
        <w:t>Call Exercise Date</w:t>
      </w:r>
      <w:r>
        <w:rPr/>
        <w:t xml:space="preserve">”: </w:t>
      </w:r>
      <w:r>
        <w:rPr>
          <w:strike/>
        </w:rPr>
        <w:t>_____,</w:t>
      </w:r>
      <w:r>
        <w:rPr/>
        <w:t xml:space="preserve"> </w:t>
      </w:r>
      <w:r>
        <w:rPr>
          <w:u w:val="double"/>
        </w:rPr>
        <w:t>May 9, 2003</w:t>
      </w:r>
      <w:r>
        <w:rPr/>
        <w:t xml:space="preserve"> or if such date is not a Business Day, the next preceding Business Day.</w:t>
      </w:r>
    </w:p>
    <w:p>
      <w:pPr>
        <w:pStyle w:val="BodyTextFirstIndent"/>
        <w:widowControl/>
        <w:bidi w:val="0"/>
        <w:ind w:firstLine="720"/>
        <w:jc w:val="both"/>
        <w:rPr>
          <w:rFonts w:ascii="Times New Roman" w:hAnsi="Times New Roman"/>
        </w:rPr>
      </w:pPr>
      <w:r>
        <w:rPr/>
        <w:t>“</w:t>
      </w:r>
      <w:r>
        <w:rPr>
          <w:u w:val="single"/>
        </w:rPr>
        <w:t>Call Option</w:t>
      </w:r>
      <w:r>
        <w:rPr/>
        <w:t xml:space="preserve">”: The Confirmation dated </w:t>
      </w:r>
      <w:r>
        <w:rPr>
          <w:strike/>
        </w:rPr>
        <w:t>______</w:t>
      </w:r>
      <w:r>
        <w:rPr>
          <w:u w:val="double"/>
        </w:rPr>
        <w:t>June __</w:t>
      </w:r>
      <w:r>
        <w:rPr/>
        <w:t xml:space="preserve">, 2000 between the </w:t>
      </w:r>
      <w:r>
        <w:rPr>
          <w:strike/>
        </w:rPr>
        <w:t>Trustee</w:t>
      </w:r>
      <w:r>
        <w:rPr/>
        <w:t xml:space="preserve"> </w:t>
      </w:r>
      <w:r>
        <w:rPr>
          <w:u w:val="double"/>
        </w:rPr>
        <w:t>Trust</w:t>
      </w:r>
      <w:r>
        <w:rPr/>
        <w:t xml:space="preserve"> and the Callholder pursuant to the ISDA Master Agreement providing a call option to the Callholder, the form of </w:t>
      </w:r>
      <w:r>
        <w:rPr>
          <w:strike/>
        </w:rPr>
        <w:t>such confirmation</w:t>
      </w:r>
      <w:r>
        <w:rPr/>
        <w:t xml:space="preserve"> </w:t>
      </w:r>
      <w:r>
        <w:rPr>
          <w:u w:val="double"/>
        </w:rPr>
        <w:t>which</w:t>
      </w:r>
      <w:r>
        <w:rPr/>
        <w:t xml:space="preserve"> is substantially in the form attached hereto as Exhibit B.</w:t>
      </w:r>
    </w:p>
    <w:p>
      <w:pPr>
        <w:pStyle w:val="BodyTextFirstIndent"/>
        <w:widowControl/>
        <w:bidi w:val="0"/>
        <w:ind w:firstLine="720"/>
        <w:jc w:val="both"/>
        <w:rPr>
          <w:rFonts w:ascii="Times New Roman" w:hAnsi="Times New Roman"/>
        </w:rPr>
      </w:pPr>
      <w:r>
        <w:rPr/>
        <w:t>“</w:t>
      </w:r>
      <w:r>
        <w:rPr>
          <w:u w:val="single"/>
        </w:rPr>
        <w:t>Call Price</w:t>
      </w:r>
      <w:r>
        <w:rPr/>
        <w:t>”: An amount equal to 100% of the principal amount of the Notes.</w:t>
      </w:r>
    </w:p>
    <w:p>
      <w:pPr>
        <w:pStyle w:val="BodyTextFirstIndent"/>
        <w:widowControl/>
        <w:bidi w:val="0"/>
        <w:ind w:firstLine="720"/>
        <w:jc w:val="both"/>
        <w:rPr>
          <w:rFonts w:ascii="Times New Roman" w:hAnsi="Times New Roman"/>
        </w:rPr>
      </w:pPr>
      <w:r>
        <w:rPr/>
        <w:t>“</w:t>
      </w:r>
      <w:r>
        <w:rPr>
          <w:u w:val="single"/>
        </w:rPr>
        <w:t>Callholder</w:t>
      </w:r>
      <w:r>
        <w:rPr/>
        <w:t>”: UBS AG, London Branch, or any permitted assignee thereof.</w:t>
      </w:r>
    </w:p>
    <w:p>
      <w:pPr>
        <w:pStyle w:val="BodyTextFirstIndent"/>
        <w:widowControl/>
        <w:bidi w:val="0"/>
        <w:ind w:firstLine="720"/>
        <w:jc w:val="both"/>
        <w:rPr>
          <w:rFonts w:ascii="Times New Roman" w:hAnsi="Times New Roman"/>
        </w:rPr>
      </w:pPr>
      <w:r>
        <w:rPr/>
        <w:t>“</w:t>
      </w:r>
      <w:r>
        <w:rPr>
          <w:u w:val="single"/>
        </w:rPr>
        <w:t>Certificateholder</w:t>
      </w:r>
      <w:r>
        <w:rPr/>
        <w:t>” or “</w:t>
      </w:r>
      <w:r>
        <w:rPr>
          <w:u w:val="single"/>
        </w:rPr>
        <w:t>Holder</w:t>
      </w:r>
      <w:r>
        <w:rPr/>
        <w:t>”: With respect to any Outstanding Certificate, the Person in whose name a Certificate is registered in the Certificate Register on the applicable Record Date.</w:t>
      </w:r>
    </w:p>
    <w:p>
      <w:pPr>
        <w:pStyle w:val="BodyTextFirstIndent"/>
        <w:widowControl/>
        <w:bidi w:val="0"/>
        <w:ind w:firstLine="720"/>
        <w:jc w:val="both"/>
        <w:rPr>
          <w:rFonts w:ascii="Times New Roman" w:hAnsi="Times New Roman"/>
        </w:rPr>
      </w:pPr>
      <w:r>
        <w:rPr/>
        <w:t>“</w:t>
      </w:r>
      <w:r>
        <w:rPr>
          <w:u w:val="single"/>
        </w:rPr>
        <w:t>Certificate Account</w:t>
      </w:r>
      <w:r>
        <w:rPr/>
        <w:t>”: As defined in Section 3.3.</w:t>
      </w:r>
    </w:p>
    <w:p>
      <w:pPr>
        <w:pStyle w:val="BodyTextFirstIndent"/>
        <w:widowControl/>
        <w:bidi w:val="0"/>
        <w:ind w:firstLine="720"/>
        <w:jc w:val="both"/>
        <w:rPr>
          <w:rFonts w:ascii="Times New Roman" w:hAnsi="Times New Roman"/>
        </w:rPr>
      </w:pPr>
      <w:r>
        <w:rPr/>
        <w:t>“</w:t>
      </w:r>
      <w:r>
        <w:rPr>
          <w:u w:val="single"/>
        </w:rPr>
        <w:t>Certificate Owner</w:t>
      </w:r>
      <w:r>
        <w:rPr/>
        <w:t>”: A beneficial owner of a Certificate represented by a Global Security.</w:t>
      </w:r>
    </w:p>
    <w:p>
      <w:pPr>
        <w:pStyle w:val="BodyTextFirstIndent"/>
        <w:widowControl/>
        <w:bidi w:val="0"/>
        <w:ind w:firstLine="720"/>
        <w:jc w:val="both"/>
        <w:rPr>
          <w:rFonts w:ascii="Times New Roman" w:hAnsi="Times New Roman"/>
        </w:rPr>
      </w:pPr>
      <w:r>
        <w:rPr/>
        <w:t>“</w:t>
      </w:r>
      <w:r>
        <w:rPr>
          <w:u w:val="single"/>
        </w:rPr>
        <w:t>Certificate Principal Amount</w:t>
      </w:r>
      <w:r>
        <w:rPr/>
        <w:t>”: $[350,000,000].</w:t>
      </w:r>
    </w:p>
    <w:p>
      <w:pPr>
        <w:pStyle w:val="BodyTextFirstIndent"/>
        <w:widowControl/>
        <w:bidi w:val="0"/>
        <w:ind w:firstLine="720"/>
        <w:jc w:val="both"/>
        <w:rPr>
          <w:rFonts w:ascii="Times New Roman" w:hAnsi="Times New Roman"/>
        </w:rPr>
      </w:pPr>
      <w:r>
        <w:rPr/>
        <w:t>“</w:t>
      </w:r>
      <w:r>
        <w:rPr>
          <w:u w:val="single"/>
        </w:rPr>
        <w:t>Certificate Principal Balance</w:t>
      </w:r>
      <w:r>
        <w:rPr/>
        <w:t>”: With respect to an Outstanding Certificate, as determined at any time, the maximum amount that the Holder thereof is entitled to receive as distributions of principal.</w:t>
      </w:r>
    </w:p>
    <w:p>
      <w:pPr>
        <w:pStyle w:val="BodyTextFirstIndent"/>
        <w:widowControl/>
        <w:bidi w:val="0"/>
        <w:ind w:firstLine="720"/>
        <w:jc w:val="both"/>
        <w:rPr>
          <w:rFonts w:ascii="Times New Roman" w:hAnsi="Times New Roman"/>
        </w:rPr>
      </w:pPr>
      <w:r>
        <w:rPr/>
        <w:t>“</w:t>
      </w:r>
      <w:r>
        <w:rPr>
          <w:u w:val="single"/>
        </w:rPr>
        <w:t>Certificate Register</w:t>
      </w:r>
      <w:r>
        <w:rPr/>
        <w:t>” and “</w:t>
      </w:r>
      <w:r>
        <w:rPr>
          <w:u w:val="single"/>
        </w:rPr>
        <w:t>Certificate Registrar</w:t>
      </w:r>
      <w:r>
        <w:rPr/>
        <w:t>”: As defined in Section 6.3.</w:t>
      </w:r>
    </w:p>
    <w:p>
      <w:pPr>
        <w:pStyle w:val="BodyTextFirstIndent"/>
        <w:widowControl/>
        <w:bidi w:val="0"/>
        <w:ind w:firstLine="720"/>
        <w:jc w:val="both"/>
        <w:rPr>
          <w:rFonts w:ascii="Times New Roman" w:hAnsi="Times New Roman"/>
        </w:rPr>
      </w:pPr>
      <w:r>
        <w:rPr/>
        <w:t>“</w:t>
      </w:r>
      <w:r>
        <w:rPr>
          <w:u w:val="single"/>
        </w:rPr>
        <w:t>Certificates</w:t>
      </w:r>
      <w:r>
        <w:rPr/>
        <w:t>”: The ___% Pass-Through Asset Trust Securities Due ______ issued by the Trust and authorized by, and authenticated and delivered under, this Agreement.</w:t>
      </w:r>
    </w:p>
    <w:p>
      <w:pPr>
        <w:pStyle w:val="BodyTextFirstIndent"/>
        <w:widowControl/>
        <w:bidi w:val="0"/>
        <w:ind w:firstLine="720"/>
        <w:jc w:val="both"/>
        <w:rPr>
          <w:rFonts w:ascii="Times New Roman" w:hAnsi="Times New Roman"/>
        </w:rPr>
      </w:pPr>
      <w:r>
        <w:rPr/>
        <w:t>“</w:t>
      </w:r>
      <w:r>
        <w:rPr>
          <w:u w:val="single"/>
        </w:rPr>
        <w:t>Clearstream, Luxembourg</w:t>
      </w:r>
      <w:r>
        <w:rPr/>
        <w:t>”: Clearstream Banking, société anonyme (or any successor securities clearing agency).</w:t>
      </w:r>
    </w:p>
    <w:p>
      <w:pPr>
        <w:pStyle w:val="BodyTextFirstIndent"/>
        <w:widowControl/>
        <w:bidi w:val="0"/>
        <w:ind w:firstLine="720"/>
        <w:jc w:val="both"/>
        <w:rPr>
          <w:rFonts w:ascii="Times New Roman" w:hAnsi="Times New Roman"/>
        </w:rPr>
      </w:pPr>
      <w:r>
        <w:rPr/>
        <w:t>“</w:t>
      </w:r>
      <w:r>
        <w:rPr>
          <w:u w:val="single"/>
        </w:rPr>
        <w:t>Closing Date</w:t>
      </w:r>
      <w:r>
        <w:rPr/>
        <w:t>”: _____, 2000.</w:t>
      </w:r>
    </w:p>
    <w:p>
      <w:pPr>
        <w:pStyle w:val="BodyTextFirstIndent"/>
        <w:widowControl/>
        <w:bidi w:val="0"/>
        <w:ind w:firstLine="720"/>
        <w:jc w:val="both"/>
        <w:rPr>
          <w:rFonts w:ascii="Times New Roman" w:hAnsi="Times New Roman"/>
        </w:rPr>
      </w:pPr>
      <w:r>
        <w:rPr/>
        <w:t>“</w:t>
      </w:r>
      <w:r>
        <w:rPr>
          <w:u w:val="single"/>
        </w:rPr>
        <w:t>Code</w:t>
      </w:r>
      <w:r>
        <w:rPr/>
        <w:t xml:space="preserve">”: The US Internal Revenue Code of 1986, as amended, and Treasury Regulations promulgated </w:t>
      </w:r>
      <w:r>
        <w:rPr>
          <w:u w:val="double"/>
        </w:rPr>
        <w:t>from time to time</w:t>
      </w:r>
      <w:r>
        <w:rPr/>
        <w:t xml:space="preserve"> thereunder.</w:t>
      </w:r>
    </w:p>
    <w:p>
      <w:pPr>
        <w:pStyle w:val="BodyTextFirstIndent"/>
        <w:widowControl/>
        <w:bidi w:val="0"/>
        <w:ind w:firstLine="720"/>
        <w:jc w:val="both"/>
        <w:rPr>
          <w:rFonts w:ascii="Times New Roman" w:hAnsi="Times New Roman"/>
        </w:rPr>
      </w:pPr>
      <w:r>
        <w:rPr/>
        <w:t>“</w:t>
      </w:r>
      <w:r>
        <w:rPr>
          <w:u w:val="single"/>
        </w:rPr>
        <w:t>Commission</w:t>
      </w:r>
      <w:r>
        <w:rPr/>
        <w:t>”: The US Securities and Exchange Commission, as from time to time constituted, created under the Exchange Act or, if at any time after the execution and delivery of this Agreement such Commission is not existing and performing the duties now assigned to it, then the body then performing such duties.</w:t>
      </w:r>
    </w:p>
    <w:p>
      <w:pPr>
        <w:pStyle w:val="BodyTextFirstIndent"/>
        <w:widowControl/>
        <w:bidi w:val="0"/>
        <w:ind w:firstLine="720"/>
        <w:jc w:val="both"/>
        <w:rPr>
          <w:rFonts w:ascii="Times New Roman" w:hAnsi="Times New Roman"/>
        </w:rPr>
      </w:pPr>
      <w:r>
        <w:rPr/>
        <w:t>“</w:t>
      </w:r>
      <w:r>
        <w:rPr>
          <w:u w:val="single"/>
        </w:rPr>
        <w:t>Company Order</w:t>
      </w:r>
      <w:r>
        <w:rPr/>
        <w:t>” or “</w:t>
      </w:r>
      <w:r>
        <w:rPr>
          <w:u w:val="single"/>
        </w:rPr>
        <w:t>Company Request</w:t>
      </w:r>
      <w:r>
        <w:rPr/>
        <w:t xml:space="preserve">”: A written order or request, respectively, signed in the name of the Company by any two of its </w:t>
      </w:r>
      <w:r>
        <w:rPr>
          <w:strike/>
        </w:rPr>
        <w:t>Chairman</w:t>
      </w:r>
      <w:r>
        <w:rPr/>
        <w:t xml:space="preserve"> </w:t>
      </w:r>
      <w:r>
        <w:rPr>
          <w:u w:val="double"/>
        </w:rPr>
        <w:t>Chief Executive Officer</w:t>
      </w:r>
      <w:r>
        <w:rPr/>
        <w:t xml:space="preserve">, President or any Vice President and delivered to the </w:t>
      </w:r>
      <w:r>
        <w:rPr>
          <w:strike/>
        </w:rPr>
        <w:t>Trustee</w:t>
      </w:r>
      <w:r>
        <w:rPr/>
        <w:t xml:space="preserve"> </w:t>
      </w:r>
      <w:r>
        <w:rPr>
          <w:u w:val="double"/>
        </w:rPr>
        <w:t>Trust</w:t>
      </w:r>
      <w:r>
        <w:rPr/>
        <w:t>.</w:t>
      </w:r>
    </w:p>
    <w:p>
      <w:pPr>
        <w:pStyle w:val="BodyTextFirstIndent"/>
        <w:widowControl/>
        <w:bidi w:val="0"/>
        <w:ind w:firstLine="720"/>
        <w:jc w:val="both"/>
        <w:rPr>
          <w:rFonts w:ascii="Times New Roman" w:hAnsi="Times New Roman"/>
        </w:rPr>
      </w:pPr>
      <w:r>
        <w:rPr/>
        <w:t>“</w:t>
      </w:r>
      <w:r>
        <w:rPr>
          <w:u w:val="single"/>
        </w:rPr>
        <w:t>Conversion Event</w:t>
      </w:r>
      <w:r>
        <w:rPr/>
        <w:t>”: The declaration, at any time prior to the Settlement Date, of the principal amount of the Notes to be due and payable immediately in accordance with Section 502 of the Indenture as a result of the occurrence of an Event of Default thereunder.</w:t>
      </w:r>
    </w:p>
    <w:p>
      <w:pPr>
        <w:pStyle w:val="BodyTextFirstIndent"/>
        <w:widowControl/>
        <w:bidi w:val="0"/>
        <w:ind w:firstLine="720"/>
        <w:jc w:val="both"/>
        <w:rPr>
          <w:rFonts w:ascii="Times New Roman" w:hAnsi="Times New Roman"/>
        </w:rPr>
      </w:pPr>
      <w:r>
        <w:rPr/>
        <w:t>“</w:t>
      </w:r>
      <w:r>
        <w:rPr>
          <w:u w:val="single"/>
        </w:rPr>
        <w:t>Corporate Trust Office</w:t>
      </w:r>
      <w:r>
        <w:rPr/>
        <w:t>”: The office of the Trustee at which its corporate trust business shall be principally administered.</w:t>
      </w:r>
    </w:p>
    <w:p>
      <w:pPr>
        <w:pStyle w:val="BodyTextFirstIndent"/>
        <w:widowControl/>
        <w:bidi w:val="0"/>
        <w:ind w:firstLine="720"/>
        <w:jc w:val="both"/>
        <w:rPr>
          <w:rFonts w:ascii="Times New Roman" w:hAnsi="Times New Roman"/>
        </w:rPr>
      </w:pPr>
      <w:r>
        <w:rPr/>
        <w:t>“</w:t>
      </w:r>
      <w:r>
        <w:rPr>
          <w:u w:val="single"/>
        </w:rPr>
        <w:t>Currency Swap</w:t>
      </w:r>
      <w:r>
        <w:rPr/>
        <w:t xml:space="preserve">”: The Confirmation dated </w:t>
      </w:r>
      <w:r>
        <w:rPr>
          <w:strike/>
        </w:rPr>
        <w:t>______</w:t>
      </w:r>
      <w:r>
        <w:rPr>
          <w:u w:val="double"/>
        </w:rPr>
        <w:t>June ___</w:t>
      </w:r>
      <w:r>
        <w:rPr/>
        <w:t xml:space="preserve">, 2000 between the Swap Counterparty and the </w:t>
      </w:r>
      <w:r>
        <w:rPr>
          <w:strike/>
        </w:rPr>
        <w:t>Trustee</w:t>
      </w:r>
      <w:r>
        <w:rPr/>
        <w:t xml:space="preserve"> </w:t>
      </w:r>
      <w:r>
        <w:rPr>
          <w:u w:val="double"/>
        </w:rPr>
        <w:t>Trust</w:t>
      </w:r>
      <w:r>
        <w:rPr/>
        <w:t xml:space="preserve"> pursuant to the ISDA Master Agreement providing for a </w:t>
      </w:r>
      <w:r>
        <w:rPr>
          <w:u w:val="double"/>
        </w:rPr>
        <w:t>Pound</w:t>
      </w:r>
      <w:r>
        <w:rPr/>
        <w:t xml:space="preserve"> Sterling to US Dollar swap, the form of </w:t>
      </w:r>
      <w:r>
        <w:rPr>
          <w:strike/>
        </w:rPr>
        <w:t>such confirmation</w:t>
      </w:r>
      <w:r>
        <w:rPr/>
        <w:t xml:space="preserve"> </w:t>
      </w:r>
      <w:r>
        <w:rPr>
          <w:u w:val="double"/>
        </w:rPr>
        <w:t>which</w:t>
      </w:r>
      <w:r>
        <w:rPr/>
        <w:t xml:space="preserve"> is substantially in the form annexed hereto as Exhibit C.</w:t>
      </w:r>
    </w:p>
    <w:p>
      <w:pPr>
        <w:pStyle w:val="BodyTextFirstIndent"/>
        <w:widowControl/>
        <w:bidi w:val="0"/>
        <w:ind w:firstLine="720"/>
        <w:jc w:val="both"/>
        <w:rPr>
          <w:rFonts w:ascii="Times New Roman" w:hAnsi="Times New Roman"/>
        </w:rPr>
      </w:pPr>
      <w:r>
        <w:rPr/>
        <w:t>“</w:t>
      </w:r>
      <w:r>
        <w:rPr>
          <w:u w:val="single"/>
        </w:rPr>
        <w:t>DCR</w:t>
      </w:r>
      <w:r>
        <w:rPr/>
        <w:t>”: Duff &amp; Phelps Credit Rating Company, or its successors.</w:t>
      </w:r>
    </w:p>
    <w:p>
      <w:pPr>
        <w:pStyle w:val="BodyTextFirstIndent"/>
        <w:widowControl/>
        <w:bidi w:val="0"/>
        <w:ind w:firstLine="720"/>
        <w:jc w:val="both"/>
        <w:rPr>
          <w:rFonts w:ascii="Times New Roman" w:hAnsi="Times New Roman"/>
        </w:rPr>
      </w:pPr>
      <w:r>
        <w:rPr/>
        <w:t>“</w:t>
      </w:r>
      <w:r>
        <w:rPr>
          <w:u w:val="single"/>
        </w:rPr>
        <w:t>Definitive Certificates</w:t>
      </w:r>
      <w:r>
        <w:rPr/>
        <w:t>”: As defined in Section 6.8.</w:t>
      </w:r>
    </w:p>
    <w:p>
      <w:pPr>
        <w:pStyle w:val="BodyTextFirstIndent"/>
        <w:widowControl/>
        <w:bidi w:val="0"/>
        <w:ind w:firstLine="720"/>
        <w:jc w:val="both"/>
        <w:rPr>
          <w:rFonts w:ascii="Times New Roman" w:hAnsi="Times New Roman"/>
        </w:rPr>
      </w:pPr>
      <w:r>
        <w:rPr/>
        <w:t>“</w:t>
      </w:r>
      <w:r>
        <w:rPr>
          <w:u w:val="single"/>
        </w:rPr>
        <w:t>Depository</w:t>
      </w:r>
      <w:r>
        <w:rPr/>
        <w:t>”: The Depository Trust Company.</w:t>
      </w:r>
    </w:p>
    <w:p>
      <w:pPr>
        <w:pStyle w:val="BodyTextFirstIndent"/>
        <w:widowControl/>
        <w:bidi w:val="0"/>
        <w:ind w:firstLine="720"/>
        <w:jc w:val="both"/>
        <w:rPr>
          <w:rFonts w:ascii="Times New Roman" w:hAnsi="Times New Roman"/>
        </w:rPr>
      </w:pPr>
      <w:r>
        <w:rPr/>
        <w:t>“</w:t>
      </w:r>
      <w:r>
        <w:rPr>
          <w:u w:val="single"/>
        </w:rPr>
        <w:t>Distribution Dates</w:t>
      </w:r>
      <w:r>
        <w:rPr/>
        <w:t xml:space="preserve">”: Each </w:t>
      </w:r>
      <w:r>
        <w:rPr>
          <w:strike/>
        </w:rPr>
        <w:t>_______</w:t>
      </w:r>
      <w:r>
        <w:rPr>
          <w:u w:val="double"/>
        </w:rPr>
        <w:t>June 15</w:t>
      </w:r>
      <w:r>
        <w:rPr/>
        <w:t xml:space="preserve"> and </w:t>
      </w:r>
      <w:r>
        <w:rPr>
          <w:strike/>
        </w:rPr>
        <w:t>_______,</w:t>
      </w:r>
      <w:r>
        <w:rPr/>
        <w:t xml:space="preserve"> </w:t>
      </w:r>
      <w:r>
        <w:rPr>
          <w:u w:val="double"/>
        </w:rPr>
        <w:t>December 15,</w:t>
      </w:r>
      <w:r>
        <w:rPr/>
        <w:t xml:space="preserve"> commencing </w:t>
      </w:r>
      <w:r>
        <w:rPr>
          <w:strike/>
        </w:rPr>
        <w:t>______,</w:t>
      </w:r>
      <w:r>
        <w:rPr/>
        <w:t xml:space="preserve"> </w:t>
      </w:r>
      <w:r>
        <w:rPr>
          <w:u w:val="double"/>
        </w:rPr>
        <w:t>December 15,</w:t>
      </w:r>
      <w:r>
        <w:rPr/>
        <w:t xml:space="preserve"> 2000</w:t>
      </w:r>
      <w:r>
        <w:rPr>
          <w:strike/>
        </w:rPr>
        <w:t>,</w:t>
      </w:r>
      <w:r>
        <w:rPr/>
        <w:t xml:space="preserve"> through and including the Final Distribution Date.</w:t>
      </w:r>
    </w:p>
    <w:p>
      <w:pPr>
        <w:pStyle w:val="BodyTextFirstIndent"/>
        <w:widowControl/>
        <w:bidi w:val="0"/>
        <w:ind w:firstLine="720"/>
        <w:jc w:val="both"/>
        <w:rPr>
          <w:rFonts w:ascii="Times New Roman" w:hAnsi="Times New Roman"/>
        </w:rPr>
      </w:pPr>
      <w:r>
        <w:rPr/>
        <w:t>“</w:t>
      </w:r>
      <w:r>
        <w:rPr>
          <w:u w:val="single"/>
        </w:rPr>
        <w:t>Dollar</w:t>
      </w:r>
      <w:r>
        <w:rPr/>
        <w:t>” or “</w:t>
      </w:r>
      <w:r>
        <w:rPr>
          <w:u w:val="single"/>
        </w:rPr>
        <w:t>$</w:t>
      </w:r>
      <w:r>
        <w:rPr/>
        <w:t>” or “</w:t>
      </w:r>
      <w:r>
        <w:rPr>
          <w:u w:val="single"/>
        </w:rPr>
        <w:t>USD</w:t>
      </w:r>
      <w:r>
        <w:rPr/>
        <w:t>” or “</w:t>
      </w:r>
      <w:r>
        <w:rPr>
          <w:u w:val="single"/>
        </w:rPr>
        <w:t>US Dollar</w:t>
      </w:r>
      <w:r>
        <w:rPr/>
        <w:t xml:space="preserve">”: Such currency of the United States as at the time of payment is legal tender for the payment of public and private debts </w:t>
      </w:r>
      <w:r>
        <w:rPr>
          <w:u w:val="double"/>
        </w:rPr>
        <w:t>in the United States</w:t>
      </w:r>
      <w:r>
        <w:rPr/>
        <w:t>.</w:t>
      </w:r>
    </w:p>
    <w:p>
      <w:pPr>
        <w:pStyle w:val="BodyTextFirstIndent"/>
        <w:widowControl/>
        <w:bidi w:val="0"/>
        <w:ind w:firstLine="720"/>
        <w:jc w:val="both"/>
        <w:rPr>
          <w:rFonts w:ascii="Times New Roman" w:hAnsi="Times New Roman"/>
        </w:rPr>
      </w:pPr>
      <w:r>
        <w:rPr/>
        <w:t>“</w:t>
      </w:r>
      <w:r>
        <w:rPr>
          <w:u w:val="single"/>
        </w:rPr>
        <w:t>Dollar Distribution</w:t>
      </w:r>
      <w:r>
        <w:rPr/>
        <w:t>”: A semi-annual US Dollar payment calculated at an annual interest rate of ___% on the basis a 360-day year consisting of twelve months of 30-days each, due on the Certificate Principal Amount.</w:t>
      </w:r>
    </w:p>
    <w:p>
      <w:pPr>
        <w:pStyle w:val="BodyTextFirstIndent"/>
        <w:widowControl/>
        <w:bidi w:val="0"/>
        <w:ind w:firstLine="720"/>
        <w:jc w:val="both"/>
        <w:rPr>
          <w:rFonts w:ascii="Times New Roman" w:hAnsi="Times New Roman"/>
        </w:rPr>
      </w:pPr>
      <w:r>
        <w:rPr/>
        <w:t>“</w:t>
      </w:r>
      <w:r>
        <w:rPr>
          <w:u w:val="single"/>
        </w:rPr>
        <w:t>Dollar Swap Payment</w:t>
      </w:r>
      <w:r>
        <w:rPr/>
        <w:t xml:space="preserve">”: A semi-annual US Dollar payment made by the Swap Counterparty to the </w:t>
      </w:r>
      <w:r>
        <w:rPr>
          <w:strike/>
        </w:rPr>
        <w:t>Trustee</w:t>
      </w:r>
      <w:r>
        <w:rPr/>
        <w:t xml:space="preserve"> </w:t>
      </w:r>
      <w:r>
        <w:rPr>
          <w:u w:val="double"/>
        </w:rPr>
        <w:t>Trust</w:t>
      </w:r>
      <w:r>
        <w:rPr/>
        <w:t xml:space="preserve"> on behalf of the Certificateholders that is calculated at an annual interest rate of ___% on the basis of a 360-day year consisting of twelve months of 30-days each on a $[350,000,000] aggregate notional amount.</w:t>
      </w:r>
    </w:p>
    <w:p>
      <w:pPr>
        <w:pStyle w:val="BodyTextFirstIndent"/>
        <w:widowControl/>
        <w:bidi w:val="0"/>
        <w:ind w:firstLine="720"/>
        <w:jc w:val="both"/>
        <w:rPr>
          <w:rFonts w:ascii="Times New Roman" w:hAnsi="Times New Roman"/>
        </w:rPr>
      </w:pPr>
      <w:r>
        <w:rPr/>
        <w:t>“</w:t>
      </w:r>
      <w:r>
        <w:rPr>
          <w:u w:val="single"/>
        </w:rPr>
        <w:t>Early Redemption Notice</w:t>
      </w:r>
      <w:r>
        <w:rPr/>
        <w:t>”: As defined in Section 8.3.</w:t>
      </w:r>
    </w:p>
    <w:p>
      <w:pPr>
        <w:pStyle w:val="BodyTextFirstIndent"/>
        <w:widowControl/>
        <w:bidi w:val="0"/>
        <w:ind w:firstLine="720"/>
        <w:jc w:val="both"/>
        <w:rPr>
          <w:rFonts w:ascii="Times New Roman" w:hAnsi="Times New Roman"/>
        </w:rPr>
      </w:pPr>
      <w:r>
        <w:rPr/>
        <w:t>“</w:t>
      </w:r>
      <w:r>
        <w:rPr>
          <w:u w:val="single"/>
        </w:rPr>
        <w:t>Early Redemption Right</w:t>
      </w:r>
      <w:r>
        <w:rPr/>
        <w:t>”: The right of the Trustee to require the Company to redeem all but not less than all</w:t>
      </w:r>
      <w:r>
        <w:rPr>
          <w:u w:val="double"/>
        </w:rPr>
        <w:t>,</w:t>
      </w:r>
      <w:r>
        <w:rPr/>
        <w:t xml:space="preserve"> the Notes at a redemption price payable in Pounds Sterling equal to 100% of the principal amount thereof plus accrued but unpaid interest, if any, to such redemption date on </w:t>
      </w:r>
      <w:r>
        <w:rPr>
          <w:strike/>
        </w:rPr>
        <w:t>______</w:t>
      </w:r>
      <w:r>
        <w:rPr>
          <w:u w:val="double"/>
        </w:rPr>
        <w:t>June 15, 2003</w:t>
      </w:r>
      <w:r>
        <w:rPr/>
        <w:t>, which right the parties hereto acknowledge that the Trustee is required to direct the holder of the Notes to exercise pursuant to Section 8.3.</w:t>
      </w:r>
    </w:p>
    <w:p>
      <w:pPr>
        <w:pStyle w:val="BodyTextFirstIndent"/>
        <w:widowControl/>
        <w:bidi w:val="0"/>
        <w:ind w:firstLine="720"/>
        <w:jc w:val="both"/>
        <w:rPr>
          <w:rFonts w:ascii="Times New Roman" w:hAnsi="Times New Roman"/>
        </w:rPr>
      </w:pPr>
      <w:r>
        <w:rPr/>
        <w:t>“</w:t>
      </w:r>
      <w:r>
        <w:rPr>
          <w:u w:val="single"/>
        </w:rPr>
        <w:t>Eligible Account</w:t>
      </w:r>
      <w:r>
        <w:rPr/>
        <w:t xml:space="preserve">”: Either (a) a segregated account maintained with a US federal or State chartered depositary institution or trust company the long-term unsecured debt obligations of which are rated by the Rating Agencies the higher of (i) at least the then current long-term rating of the Notes and (ii) in one of its two highest long-term rating categories at the time any amounts are held in deposit therein or (b) a trust account maintained as a segregated account and held by a US federal or State chartered depositary institution or trust company in trust for the benefit of the Certificateholders; </w:t>
      </w:r>
      <w:r>
        <w:rPr>
          <w:i/>
        </w:rPr>
        <w:t>provided, however</w:t>
      </w:r>
      <w:r>
        <w:rPr/>
        <w:t>, that such depositary institution or trust company has a long-term rating in one of the four highest categories by the Rating Agencies.</w:t>
      </w:r>
    </w:p>
    <w:p>
      <w:pPr>
        <w:pStyle w:val="BodyTextFirstIndent"/>
        <w:widowControl/>
        <w:bidi w:val="0"/>
        <w:ind w:firstLine="720"/>
        <w:jc w:val="both"/>
        <w:rPr>
          <w:rFonts w:ascii="Times New Roman" w:hAnsi="Times New Roman"/>
        </w:rPr>
      </w:pPr>
      <w:r>
        <w:rPr/>
        <w:t>“</w:t>
      </w:r>
      <w:r>
        <w:rPr>
          <w:u w:val="single"/>
        </w:rPr>
        <w:t>Eligible Expenses</w:t>
      </w:r>
      <w:r>
        <w:rPr/>
        <w:t xml:space="preserve">”: All reasonable out of pocket expenses incurred or made by the Trustee, including costs of collection, in addition to the compensation agreed upon by the Company and the Trustee for the Trustee’s services. Such expenses shall include the reasonable compensation, expenses and disbursements of the Trustee’s agents, counsel and experts, which agents, counsel and experts shall, prior to the occurrence of an Event of Default or an event that with the giving of notice or passing of time or both would constitute an Event of Default, be agreed upon by the Company and the Trustee. </w:t>
      </w:r>
      <w:r>
        <w:rPr>
          <w:strike/>
        </w:rPr>
        <w:t xml:space="preserve"> The Company shall pay such expenses.</w:t>
      </w:r>
    </w:p>
    <w:p>
      <w:pPr>
        <w:pStyle w:val="BodyTextFirstIndent"/>
        <w:widowControl/>
        <w:bidi w:val="0"/>
        <w:ind w:firstLine="720"/>
        <w:jc w:val="both"/>
        <w:rPr>
          <w:rFonts w:ascii="Times New Roman" w:hAnsi="Times New Roman"/>
        </w:rPr>
      </w:pPr>
      <w:r>
        <w:rPr/>
        <w:t>“</w:t>
      </w:r>
      <w:r>
        <w:rPr>
          <w:u w:val="single"/>
        </w:rPr>
        <w:t>Euroclear</w:t>
      </w:r>
      <w:r>
        <w:rPr/>
        <w:t>”: The Euroclear Clearance System (or any successor securities clearing agency).</w:t>
      </w:r>
    </w:p>
    <w:p>
      <w:pPr>
        <w:pStyle w:val="BodyTextFirstIndent"/>
        <w:widowControl/>
        <w:bidi w:val="0"/>
        <w:ind w:firstLine="720"/>
        <w:jc w:val="both"/>
        <w:rPr>
          <w:rFonts w:ascii="Times New Roman" w:hAnsi="Times New Roman"/>
        </w:rPr>
      </w:pPr>
      <w:r>
        <w:rPr/>
        <w:t>“</w:t>
      </w:r>
      <w:r>
        <w:rPr>
          <w:u w:val="single"/>
        </w:rPr>
        <w:t>Event of Default</w:t>
      </w:r>
      <w:r>
        <w:rPr/>
        <w:t>”: An Event of Default under the Indenture.</w:t>
      </w:r>
    </w:p>
    <w:p>
      <w:pPr>
        <w:pStyle w:val="BodyTextFirstIndent"/>
        <w:widowControl/>
        <w:bidi w:val="0"/>
        <w:ind w:firstLine="720"/>
        <w:jc w:val="both"/>
        <w:rPr>
          <w:rFonts w:ascii="Times New Roman" w:hAnsi="Times New Roman"/>
        </w:rPr>
      </w:pPr>
      <w:r>
        <w:rPr/>
        <w:t>“</w:t>
      </w:r>
      <w:r>
        <w:rPr>
          <w:u w:val="single"/>
        </w:rPr>
        <w:t>Exchange Act</w:t>
      </w:r>
      <w:r>
        <w:rPr/>
        <w:t>”: The US Securities Exchange Act of 1934, as amended.</w:t>
      </w:r>
    </w:p>
    <w:p>
      <w:pPr>
        <w:pStyle w:val="BodyTextFirstIndent"/>
        <w:widowControl/>
        <w:bidi w:val="0"/>
        <w:ind w:firstLine="720"/>
        <w:jc w:val="both"/>
        <w:rPr>
          <w:rFonts w:ascii="Times New Roman" w:hAnsi="Times New Roman"/>
        </w:rPr>
      </w:pPr>
      <w:r>
        <w:rPr/>
        <w:t>“</w:t>
      </w:r>
      <w:r>
        <w:rPr>
          <w:u w:val="single"/>
        </w:rPr>
        <w:t>Executive Officer</w:t>
      </w:r>
      <w:r>
        <w:rPr/>
        <w:t>”: With respect to any corporation, the Chief Executive Officer, the Chief Operating Officer, the Chief Financial Officer, the President, any Vice President, the Secretary, the Treasurer, any Assistant Treasurer or any Assistant Secretary of such corporation.</w:t>
      </w:r>
    </w:p>
    <w:p>
      <w:pPr>
        <w:pStyle w:val="BodyTextFirstIndent"/>
        <w:widowControl/>
        <w:bidi w:val="0"/>
        <w:ind w:firstLine="720"/>
        <w:jc w:val="both"/>
        <w:rPr>
          <w:rFonts w:ascii="Times New Roman" w:hAnsi="Times New Roman"/>
        </w:rPr>
      </w:pPr>
      <w:r>
        <w:rPr>
          <w:u w:val="double"/>
        </w:rPr>
        <w:t>** 1</w:t>
      </w:r>
      <w:r>
        <w:rPr/>
        <w:t xml:space="preserve"> </w:t>
      </w:r>
      <w:r>
        <w:rPr>
          <w:strike/>
        </w:rPr>
        <w:t>“Option</w:t>
      </w:r>
      <w:r>
        <w:rPr>
          <w:u w:val="double"/>
        </w:rPr>
        <w:t>“Exercise</w:t>
      </w:r>
      <w:r>
        <w:rPr>
          <w:u w:val="single"/>
        </w:rPr>
        <w:t xml:space="preserve"> Proceeds</w:t>
      </w:r>
      <w:r>
        <w:rPr/>
        <w:t xml:space="preserve">”: All amounts received by the </w:t>
      </w:r>
      <w:r>
        <w:rPr>
          <w:strike/>
        </w:rPr>
        <w:t>Trustee</w:t>
      </w:r>
      <w:r>
        <w:rPr/>
        <w:t xml:space="preserve"> </w:t>
      </w:r>
      <w:r>
        <w:rPr>
          <w:u w:val="double"/>
        </w:rPr>
        <w:t>Trust</w:t>
      </w:r>
      <w:r>
        <w:rPr/>
        <w:t xml:space="preserve"> in respect of an exercise of the Call Option by the Callholder or an exercise of the Early Redemption Right by the Trustee, as the case may be.</w:t>
      </w:r>
    </w:p>
    <w:p>
      <w:pPr>
        <w:pStyle w:val="BodyTextFirstIndent"/>
        <w:widowControl/>
        <w:bidi w:val="0"/>
        <w:ind w:firstLine="720"/>
        <w:jc w:val="both"/>
        <w:rPr>
          <w:rFonts w:ascii="Times New Roman" w:hAnsi="Times New Roman"/>
        </w:rPr>
      </w:pPr>
      <w:r>
        <w:rPr/>
        <w:t>“</w:t>
      </w:r>
      <w:r>
        <w:rPr>
          <w:u w:val="single"/>
        </w:rPr>
        <w:t>Final Distribution</w:t>
      </w:r>
      <w:r>
        <w:rPr/>
        <w:t xml:space="preserve">”: The distribution by the </w:t>
      </w:r>
      <w:r>
        <w:rPr>
          <w:strike/>
        </w:rPr>
        <w:t>Trustee</w:t>
      </w:r>
      <w:r>
        <w:rPr/>
        <w:t xml:space="preserve"> </w:t>
      </w:r>
      <w:r>
        <w:rPr>
          <w:u w:val="double"/>
        </w:rPr>
        <w:t>Trust</w:t>
      </w:r>
      <w:r>
        <w:rPr/>
        <w:t xml:space="preserve"> on the Final Distribution Date of (a) either (i) all </w:t>
      </w:r>
      <w:r>
        <w:rPr>
          <w:strike/>
        </w:rPr>
        <w:t>Option</w:t>
      </w:r>
      <w:r>
        <w:rPr/>
        <w:t xml:space="preserve"> </w:t>
      </w:r>
      <w:r>
        <w:rPr>
          <w:u w:val="double"/>
        </w:rPr>
        <w:t>Exercise</w:t>
      </w:r>
      <w:r>
        <w:rPr/>
        <w:t xml:space="preserve"> Proceeds following an exercise of the Call Option by the Callholder or </w:t>
      </w:r>
      <w:r>
        <w:rPr>
          <w:strike/>
        </w:rPr>
        <w:t>an</w:t>
      </w:r>
      <w:r>
        <w:rPr/>
        <w:t xml:space="preserve"> </w:t>
      </w:r>
      <w:r>
        <w:rPr>
          <w:u w:val="double"/>
        </w:rPr>
        <w:t>all proceeds of the</w:t>
      </w:r>
      <w:r>
        <w:rPr/>
        <w:t xml:space="preserve"> exercise of the Early Redemption Right (and upon receipt by the Trust from the Swap Counterparty of US Dollars in an amount equal to the Certificate Principal Amount pursuant to the Currency Swap as a result of such exercise), as the case may be, or (ii) all Liquidation Proceeds received by the </w:t>
      </w:r>
      <w:r>
        <w:rPr>
          <w:strike/>
        </w:rPr>
        <w:t>Trustee</w:t>
      </w:r>
      <w:r>
        <w:rPr/>
        <w:t xml:space="preserve"> </w:t>
      </w:r>
      <w:r>
        <w:rPr>
          <w:u w:val="double"/>
        </w:rPr>
        <w:t>Trust</w:t>
      </w:r>
      <w:r>
        <w:rPr/>
        <w:t xml:space="preserve"> following a Trust Termination Event and (b) all Dollar Swap Payments received by the </w:t>
      </w:r>
      <w:r>
        <w:rPr>
          <w:strike/>
        </w:rPr>
        <w:t>Trustee</w:t>
      </w:r>
      <w:r>
        <w:rPr/>
        <w:t xml:space="preserve"> </w:t>
      </w:r>
      <w:r>
        <w:rPr>
          <w:u w:val="double"/>
        </w:rPr>
        <w:t>Trust</w:t>
      </w:r>
      <w:r>
        <w:rPr/>
        <w:t>, not previously distributed pursuant to Section 4.1.</w:t>
      </w:r>
    </w:p>
    <w:p>
      <w:pPr>
        <w:pStyle w:val="BodyTextFirstIndent"/>
        <w:widowControl/>
        <w:bidi w:val="0"/>
        <w:ind w:firstLine="720"/>
        <w:jc w:val="both"/>
        <w:rPr>
          <w:rFonts w:ascii="Times New Roman" w:hAnsi="Times New Roman"/>
        </w:rPr>
      </w:pPr>
      <w:r>
        <w:rPr/>
        <w:t>“</w:t>
      </w:r>
      <w:r>
        <w:rPr>
          <w:u w:val="single"/>
        </w:rPr>
        <w:t>Final Distribution Date</w:t>
      </w:r>
      <w:r>
        <w:rPr/>
        <w:t xml:space="preserve">”: In the case of (a) an exercise of the Call Option or the Early Redemption Right, </w:t>
      </w:r>
      <w:r>
        <w:rPr>
          <w:strike/>
        </w:rPr>
        <w:t>________</w:t>
      </w:r>
      <w:r>
        <w:rPr>
          <w:u w:val="double"/>
        </w:rPr>
        <w:t>June 15,2003</w:t>
      </w:r>
      <w:r>
        <w:rPr/>
        <w:t xml:space="preserve"> and (b) in the case of a Trust Termination Event, the Business Day following the receipt by the </w:t>
      </w:r>
      <w:r>
        <w:rPr>
          <w:strike/>
        </w:rPr>
        <w:t>Trustee</w:t>
      </w:r>
      <w:r>
        <w:rPr/>
        <w:t xml:space="preserve"> </w:t>
      </w:r>
      <w:r>
        <w:rPr>
          <w:u w:val="double"/>
        </w:rPr>
        <w:t>Trust</w:t>
      </w:r>
      <w:r>
        <w:rPr/>
        <w:t xml:space="preserve"> of the Liquidation Proceeds.</w:t>
      </w:r>
    </w:p>
    <w:p>
      <w:pPr>
        <w:pStyle w:val="BodyTextFirstIndent"/>
        <w:widowControl/>
        <w:bidi w:val="0"/>
        <w:ind w:firstLine="720"/>
        <w:jc w:val="both"/>
        <w:rPr>
          <w:rFonts w:ascii="Times New Roman" w:hAnsi="Times New Roman"/>
        </w:rPr>
      </w:pPr>
      <w:r>
        <w:rPr/>
        <w:t>“</w:t>
      </w:r>
      <w:r>
        <w:rPr>
          <w:u w:val="single"/>
        </w:rPr>
        <w:t>Global Security</w:t>
      </w:r>
      <w:r>
        <w:rPr/>
        <w:t>”: The Rule 144A Global Security or the Regulation S Global Security.</w:t>
      </w:r>
    </w:p>
    <w:p>
      <w:pPr>
        <w:pStyle w:val="BodyTextFirstIndent"/>
        <w:widowControl/>
        <w:bidi w:val="0"/>
        <w:ind w:firstLine="720"/>
        <w:jc w:val="both"/>
        <w:rPr>
          <w:rFonts w:ascii="Times New Roman" w:hAnsi="Times New Roman"/>
        </w:rPr>
      </w:pPr>
      <w:r>
        <w:rPr/>
        <w:t>“</w:t>
      </w:r>
      <w:r>
        <w:rPr>
          <w:u w:val="single"/>
        </w:rPr>
        <w:t>Indenture</w:t>
      </w:r>
      <w:r>
        <w:rPr/>
        <w:t>”: The Indenture dated as of November 1, 1985 between the Company (formerly InterNorth, Inc.) and the Indenture Trustee, as previously supplemented and amended and as to be supplemented and amended by the Supplemental Indenture.</w:t>
      </w:r>
    </w:p>
    <w:p>
      <w:pPr>
        <w:pStyle w:val="BodyTextFirstIndent"/>
        <w:widowControl/>
        <w:bidi w:val="0"/>
        <w:ind w:firstLine="720"/>
        <w:jc w:val="both"/>
        <w:rPr>
          <w:rFonts w:ascii="Times New Roman" w:hAnsi="Times New Roman"/>
        </w:rPr>
      </w:pPr>
      <w:r>
        <w:rPr/>
        <w:t>“</w:t>
      </w:r>
      <w:r>
        <w:rPr>
          <w:u w:val="single"/>
        </w:rPr>
        <w:t>Indenture Trustee</w:t>
      </w:r>
      <w:r>
        <w:rPr/>
        <w:t>”: The Bank of New York (successor to the Harris Trust and Savings Bank), as trustee under the Indenture, or its successors.</w:t>
      </w:r>
    </w:p>
    <w:p>
      <w:pPr>
        <w:pStyle w:val="BodyTextFirstIndent"/>
        <w:widowControl/>
        <w:bidi w:val="0"/>
        <w:ind w:firstLine="720"/>
        <w:jc w:val="both"/>
        <w:rPr>
          <w:rFonts w:ascii="Times New Roman" w:hAnsi="Times New Roman"/>
        </w:rPr>
      </w:pPr>
      <w:r>
        <w:rPr/>
        <w:t>“</w:t>
      </w:r>
      <w:r>
        <w:rPr>
          <w:u w:val="single"/>
        </w:rPr>
        <w:t>Initial Certificate Principal Balance</w:t>
      </w:r>
      <w:r>
        <w:rPr/>
        <w:t>”: The aggregate Certificate Principal Balance as of the Closing Date, which is $[350,000,000].</w:t>
      </w:r>
    </w:p>
    <w:p>
      <w:pPr>
        <w:pStyle w:val="BodyTextFirstIndent"/>
        <w:widowControl/>
        <w:bidi w:val="0"/>
        <w:ind w:firstLine="720"/>
        <w:jc w:val="both"/>
        <w:rPr>
          <w:rFonts w:ascii="Times New Roman" w:hAnsi="Times New Roman"/>
        </w:rPr>
      </w:pPr>
      <w:r>
        <w:rPr/>
        <w:t>“</w:t>
      </w:r>
      <w:r>
        <w:rPr>
          <w:u w:val="single"/>
        </w:rPr>
        <w:t>Initial Purchaser</w:t>
      </w:r>
      <w:r>
        <w:rPr/>
        <w:t>”: UBS Warburg LLC.</w:t>
      </w:r>
    </w:p>
    <w:p>
      <w:pPr>
        <w:pStyle w:val="BodyTextFirstIndent"/>
        <w:widowControl/>
        <w:bidi w:val="0"/>
        <w:ind w:firstLine="720"/>
        <w:jc w:val="both"/>
        <w:rPr>
          <w:rFonts w:ascii="Times New Roman" w:hAnsi="Times New Roman"/>
        </w:rPr>
      </w:pPr>
      <w:r>
        <w:rPr/>
        <w:t xml:space="preserve"> “</w:t>
      </w:r>
      <w:r>
        <w:rPr>
          <w:u w:val="single"/>
        </w:rPr>
        <w:t>ISDA Master Agreement</w:t>
      </w:r>
      <w:r>
        <w:rPr/>
        <w:t xml:space="preserve">”: ISDA Master Agreement, dated as of </w:t>
      </w:r>
      <w:r>
        <w:rPr>
          <w:strike/>
        </w:rPr>
        <w:t>_______</w:t>
      </w:r>
      <w:r>
        <w:rPr>
          <w:u w:val="double"/>
        </w:rPr>
        <w:t>June 1</w:t>
      </w:r>
      <w:r>
        <w:rPr/>
        <w:t xml:space="preserve">, 2000, between UBS AG, London Branch and the </w:t>
      </w:r>
      <w:r>
        <w:rPr>
          <w:strike/>
        </w:rPr>
        <w:t>Trustee</w:t>
      </w:r>
      <w:r>
        <w:rPr/>
        <w:t xml:space="preserve"> </w:t>
      </w:r>
      <w:r>
        <w:rPr>
          <w:u w:val="double"/>
        </w:rPr>
        <w:t>Trust</w:t>
      </w:r>
      <w:r>
        <w:rPr/>
        <w:t>, as supplemented and amended by the Schedule thereto.</w:t>
      </w:r>
    </w:p>
    <w:p>
      <w:pPr>
        <w:pStyle w:val="BodyTextFirstIndent"/>
        <w:widowControl/>
        <w:bidi w:val="0"/>
        <w:ind w:firstLine="720"/>
        <w:jc w:val="both"/>
        <w:rPr>
          <w:rFonts w:ascii="Times New Roman" w:hAnsi="Times New Roman"/>
        </w:rPr>
      </w:pPr>
      <w:r>
        <w:rPr/>
        <w:t>“</w:t>
      </w:r>
      <w:r>
        <w:rPr>
          <w:u w:val="single"/>
        </w:rPr>
        <w:t>Liquidation Proceeds</w:t>
      </w:r>
      <w:r>
        <w:rPr/>
        <w:t xml:space="preserve">”: All amounts, property or proceeds received by the </w:t>
      </w:r>
      <w:r>
        <w:rPr>
          <w:strike/>
        </w:rPr>
        <w:t>Trustee</w:t>
      </w:r>
      <w:r>
        <w:rPr/>
        <w:t xml:space="preserve"> </w:t>
      </w:r>
      <w:r>
        <w:rPr>
          <w:u w:val="double"/>
        </w:rPr>
        <w:t>Trust</w:t>
      </w:r>
      <w:r>
        <w:rPr/>
        <w:t xml:space="preserve"> in connection with a Trust Termination Event.</w:t>
      </w:r>
    </w:p>
    <w:p>
      <w:pPr>
        <w:pStyle w:val="BodyTextFirstIndent"/>
        <w:widowControl/>
        <w:bidi w:val="0"/>
        <w:ind w:firstLine="720"/>
        <w:jc w:val="both"/>
        <w:rPr>
          <w:rFonts w:ascii="Times New Roman" w:hAnsi="Times New Roman"/>
        </w:rPr>
      </w:pPr>
      <w:r>
        <w:rPr/>
        <w:t>“</w:t>
      </w:r>
      <w:r>
        <w:rPr>
          <w:u w:val="single"/>
        </w:rPr>
        <w:t>Moody’s</w:t>
      </w:r>
      <w:r>
        <w:rPr/>
        <w:t>”: Moody’s Investors Service, Inc., or its successors.</w:t>
      </w:r>
    </w:p>
    <w:p>
      <w:pPr>
        <w:pStyle w:val="BodyTextFirstIndent"/>
        <w:widowControl/>
        <w:bidi w:val="0"/>
        <w:ind w:firstLine="720"/>
        <w:jc w:val="both"/>
        <w:rPr>
          <w:rFonts w:ascii="Times New Roman" w:hAnsi="Times New Roman"/>
        </w:rPr>
      </w:pPr>
      <w:r>
        <w:rPr/>
        <w:t>“</w:t>
      </w:r>
      <w:r>
        <w:rPr>
          <w:u w:val="single"/>
        </w:rPr>
        <w:t>Notes</w:t>
      </w:r>
      <w:r>
        <w:rPr/>
        <w:t xml:space="preserve">”: £______ principal amount of the Company’s Reset Senior Notes Due </w:t>
      </w:r>
      <w:r>
        <w:rPr>
          <w:strike/>
        </w:rPr>
        <w:t>______</w:t>
      </w:r>
      <w:r>
        <w:rPr>
          <w:u w:val="double"/>
        </w:rPr>
        <w:t>June 15, 2028</w:t>
      </w:r>
      <w:r>
        <w:rPr/>
        <w:t xml:space="preserve"> issued pursuant to the Indenture.</w:t>
      </w:r>
    </w:p>
    <w:p>
      <w:pPr>
        <w:pStyle w:val="BodyTextFirstIndent"/>
        <w:widowControl/>
        <w:bidi w:val="0"/>
        <w:ind w:firstLine="720"/>
        <w:jc w:val="both"/>
        <w:rPr>
          <w:rFonts w:ascii="Times New Roman" w:hAnsi="Times New Roman"/>
        </w:rPr>
      </w:pPr>
      <w:r>
        <w:rPr/>
        <w:t>“</w:t>
      </w:r>
      <w:r>
        <w:rPr>
          <w:u w:val="single"/>
        </w:rPr>
        <w:t>Officer’s Certificate</w:t>
      </w:r>
      <w:r>
        <w:rPr/>
        <w:t xml:space="preserve">”: A certificate signed by, the </w:t>
      </w:r>
      <w:r>
        <w:rPr>
          <w:strike/>
        </w:rPr>
        <w:t>chairman, president</w:t>
      </w:r>
      <w:r>
        <w:rPr/>
        <w:t xml:space="preserve"> </w:t>
      </w:r>
      <w:r>
        <w:rPr>
          <w:u w:val="double"/>
        </w:rPr>
        <w:t>Chairman, President</w:t>
      </w:r>
      <w:r>
        <w:rPr/>
        <w:t xml:space="preserve"> or any </w:t>
      </w:r>
      <w:r>
        <w:rPr>
          <w:strike/>
        </w:rPr>
        <w:t>vice president</w:t>
      </w:r>
      <w:r>
        <w:rPr/>
        <w:t xml:space="preserve"> </w:t>
      </w:r>
      <w:r>
        <w:rPr>
          <w:u w:val="double"/>
        </w:rPr>
        <w:t>Vice President</w:t>
      </w:r>
      <w:r>
        <w:rPr/>
        <w:t xml:space="preserve"> of the Company and, in the case of the Trustee, a Responsible Officer.</w:t>
      </w:r>
    </w:p>
    <w:p>
      <w:pPr>
        <w:pStyle w:val="BodyTextFirstIndent"/>
        <w:widowControl/>
        <w:bidi w:val="0"/>
        <w:ind w:firstLine="720"/>
        <w:jc w:val="both"/>
        <w:rPr>
          <w:rFonts w:ascii="Times New Roman" w:hAnsi="Times New Roman"/>
        </w:rPr>
      </w:pPr>
      <w:r>
        <w:rPr/>
        <w:t>“</w:t>
      </w:r>
      <w:r>
        <w:rPr>
          <w:u w:val="single"/>
        </w:rPr>
        <w:t>Opinion of Counsel</w:t>
      </w:r>
      <w:r>
        <w:rPr/>
        <w:t>”: A written opinion of independent counsel experienced in the matters to be opined on, who may be counsel for the Company, but not an employee thereof, who shall be reasonably acceptable to the Trustee. Any Opinion of Counsel pertaining to US federal income tax matters may rely on published rulings of the US Internal Revenue Service.</w:t>
      </w:r>
    </w:p>
    <w:p>
      <w:pPr>
        <w:pStyle w:val="BodyTextFirstIndent"/>
        <w:widowControl/>
        <w:bidi w:val="0"/>
        <w:ind w:firstLine="720"/>
        <w:jc w:val="both"/>
        <w:rPr>
          <w:rFonts w:ascii="Times New Roman" w:hAnsi="Times New Roman"/>
        </w:rPr>
      </w:pPr>
      <w:r>
        <w:rPr/>
        <w:t xml:space="preserve"> </w:t>
      </w:r>
    </w:p>
    <w:p>
      <w:pPr>
        <w:pStyle w:val="BodyTextFirstIndent"/>
        <w:widowControl/>
        <w:bidi w:val="0"/>
        <w:ind w:firstLine="720"/>
        <w:jc w:val="both"/>
        <w:rPr>
          <w:rFonts w:ascii="Times New Roman" w:hAnsi="Times New Roman"/>
        </w:rPr>
      </w:pPr>
      <w:r>
        <w:rPr>
          <w:strike/>
        </w:rPr>
        <w:t>* 1 “Option Proceeds”: All amounts received by the Trustee in respect of an exercise of the Call Option by the Callholder or an exercise of the Early Redemption Right by the Trustee, as the case may be.</w:t>
      </w:r>
    </w:p>
    <w:p>
      <w:pPr>
        <w:pStyle w:val="BodyTextFirstIndent"/>
        <w:widowControl/>
        <w:bidi w:val="0"/>
        <w:ind w:firstLine="720"/>
        <w:jc w:val="both"/>
        <w:rPr>
          <w:rFonts w:ascii="Times New Roman" w:hAnsi="Times New Roman"/>
        </w:rPr>
      </w:pPr>
      <w:r>
        <w:rPr/>
        <w:t>“</w:t>
      </w:r>
      <w:r>
        <w:rPr>
          <w:u w:val="single"/>
        </w:rPr>
        <w:t>Outstanding</w:t>
      </w:r>
      <w:r>
        <w:rPr/>
        <w:t>”: When used with respect to Certificates, as of the date of determination, all Certificates theretofore authenticated and delivered under this Agreement (including, as of such date, all Certificates represented by Restricted Global Securities authenticated and delivered under this Agreement), except:</w:t>
      </w:r>
    </w:p>
    <w:p>
      <w:pPr>
        <w:pStyle w:val="BodyText"/>
        <w:widowControl/>
        <w:bidi w:val="0"/>
        <w:ind w:firstLine="720" w:start="720"/>
        <w:jc w:val="both"/>
        <w:rPr>
          <w:rFonts w:ascii="Times New Roman" w:hAnsi="Times New Roman"/>
        </w:rPr>
      </w:pPr>
      <w:r>
        <w:rPr/>
        <w:t>(a)</w:t>
        <w:tab/>
        <w:t>Certificates theretofore cancelled by the Certificate Registrar or delivered to the Certificate Registrar for cancellation; and</w:t>
      </w:r>
    </w:p>
    <w:p>
      <w:pPr>
        <w:pStyle w:val="BodyText"/>
        <w:widowControl/>
        <w:bidi w:val="0"/>
        <w:ind w:firstLine="720" w:start="720"/>
        <w:jc w:val="both"/>
        <w:rPr>
          <w:rFonts w:ascii="Times New Roman" w:hAnsi="Times New Roman"/>
        </w:rPr>
      </w:pPr>
      <w:r>
        <w:rPr/>
        <w:t>(b)</w:t>
        <w:tab/>
        <w:t>Certificates that have been issued pursuant to Section 6.4 or in exchange for or in lieu of which other Certificates have been authenticated and delivered pursuant to this Agreement, unless proof satisfactory to the Trustee is presented that any such Certificates are held by a bona fide purchaser in whose hands such Certificates are valid obligations of the Trust;</w:t>
      </w:r>
    </w:p>
    <w:p>
      <w:pPr>
        <w:pStyle w:val="BodyText"/>
        <w:widowControl/>
        <w:bidi w:val="0"/>
        <w:jc w:val="both"/>
        <w:rPr>
          <w:rFonts w:ascii="Times New Roman" w:hAnsi="Times New Roman"/>
        </w:rPr>
      </w:pPr>
      <w:r>
        <w:rPr>
          <w:i/>
        </w:rPr>
        <w:t>provided, however</w:t>
      </w:r>
      <w:r>
        <w:rPr/>
        <w:t>, that in determining whether the holders of the required percentage of the aggregate Voting Rights of the Certificates have given any request, demand, authorization, direction, notice, consent or waiver hereunder, Certificates beneficially owned by the Company or any Affiliate thereof, shall be disregarded and deemed not to be Outstanding, and the Voting Rights to which its Holder would otherwise be entitled shall not be taken into account in determining whether the requisite percentage of aggregate Voting Rights necessary to effect any such consent or take any such action has been obtained, except that (i) in determining whether the Trustee shall be protected in relying upon any such request, demand, authorization, direction, notice, consent or waiver, only Certificates that the Trustee actually knows to be so owned shall be so disregarded and (ii) the foregoing shall not apply at any time when all of the Outstanding Certificates are owned by the Company or an Affiliate thereof. Certificates so owned that have been pledged in good faith may be regarded as Outstanding if the pledgor establishes to the satisfaction of the Trustee the pledgor’s right so to act with respect to such Certificates and that the pledgee is not the Company or any Affiliate thereof.</w:t>
      </w:r>
    </w:p>
    <w:p>
      <w:pPr>
        <w:pStyle w:val="BodyTextFirstIndent"/>
        <w:widowControl/>
        <w:bidi w:val="0"/>
        <w:ind w:firstLine="720"/>
        <w:jc w:val="both"/>
        <w:rPr>
          <w:rFonts w:ascii="Times New Roman" w:hAnsi="Times New Roman"/>
        </w:rPr>
      </w:pPr>
      <w:r>
        <w:rPr/>
        <w:t>“</w:t>
      </w:r>
      <w:r>
        <w:rPr>
          <w:u w:val="single"/>
        </w:rPr>
        <w:t>Participant</w:t>
      </w:r>
      <w:r>
        <w:rPr/>
        <w:t>”: A broker, dealer, bank, other financial institution or other Person for whom from time to time the Depository effects book-entry transfers and pledges of securities deposited with the Depository.</w:t>
      </w:r>
    </w:p>
    <w:p>
      <w:pPr>
        <w:pStyle w:val="BodyTextFirstIndent"/>
        <w:widowControl/>
        <w:bidi w:val="0"/>
        <w:ind w:firstLine="720"/>
        <w:jc w:val="both"/>
        <w:rPr>
          <w:rFonts w:ascii="Times New Roman" w:hAnsi="Times New Roman"/>
        </w:rPr>
      </w:pPr>
      <w:r>
        <w:rPr/>
        <w:t>“</w:t>
      </w:r>
      <w:r>
        <w:rPr>
          <w:u w:val="single"/>
        </w:rPr>
        <w:t>Paying Agent</w:t>
      </w:r>
      <w:r>
        <w:rPr/>
        <w:t>”: As defined in Section 6.11.</w:t>
      </w:r>
    </w:p>
    <w:p>
      <w:pPr>
        <w:pStyle w:val="BodyTextFirstIndent"/>
        <w:widowControl/>
        <w:bidi w:val="0"/>
        <w:ind w:firstLine="720"/>
        <w:jc w:val="both"/>
        <w:rPr>
          <w:rFonts w:ascii="Times New Roman" w:hAnsi="Times New Roman"/>
        </w:rPr>
      </w:pPr>
      <w:r>
        <w:rPr/>
        <w:t>“</w:t>
      </w:r>
      <w:r>
        <w:rPr>
          <w:u w:val="single"/>
        </w:rPr>
        <w:t>Payment Date</w:t>
      </w:r>
      <w:r>
        <w:rPr/>
        <w:t xml:space="preserve">”: The semi-annual dates on which payments will be due on the Notes as provided therein, being the </w:t>
      </w:r>
      <w:r>
        <w:rPr>
          <w:strike/>
        </w:rPr>
        <w:t>_____</w:t>
      </w:r>
      <w:r>
        <w:rPr>
          <w:u w:val="double"/>
        </w:rPr>
        <w:t>15</w:t>
      </w:r>
      <w:r>
        <w:rPr>
          <w:u w:val="double"/>
          <w:vertAlign w:val="superscript"/>
        </w:rPr>
        <w:t>th</w:t>
      </w:r>
      <w:r>
        <w:rPr/>
        <w:t xml:space="preserve"> day of each </w:t>
      </w:r>
      <w:r>
        <w:rPr>
          <w:strike/>
        </w:rPr>
        <w:t>_____</w:t>
      </w:r>
      <w:r>
        <w:rPr>
          <w:u w:val="double"/>
        </w:rPr>
        <w:t>June</w:t>
      </w:r>
      <w:r>
        <w:rPr/>
        <w:t xml:space="preserve"> and </w:t>
      </w:r>
      <w:r>
        <w:rPr>
          <w:strike/>
        </w:rPr>
        <w:t>_____</w:t>
      </w:r>
      <w:r>
        <w:rPr>
          <w:u w:val="double"/>
        </w:rPr>
        <w:t>December</w:t>
      </w:r>
      <w:r>
        <w:rPr/>
        <w:t xml:space="preserve">, with the first </w:t>
      </w:r>
      <w:r>
        <w:rPr>
          <w:strike/>
        </w:rPr>
        <w:t>payment</w:t>
      </w:r>
      <w:r>
        <w:rPr/>
        <w:t xml:space="preserve"> </w:t>
      </w:r>
      <w:r>
        <w:rPr>
          <w:u w:val="double"/>
        </w:rPr>
        <w:t>such date</w:t>
      </w:r>
      <w:r>
        <w:rPr/>
        <w:t xml:space="preserve"> to occur on </w:t>
      </w:r>
      <w:r>
        <w:rPr>
          <w:strike/>
        </w:rPr>
        <w:t>_____</w:t>
      </w:r>
      <w:r>
        <w:rPr>
          <w:u w:val="double"/>
        </w:rPr>
        <w:t>December 15</w:t>
      </w:r>
      <w:r>
        <w:rPr/>
        <w:t>, 2000.</w:t>
      </w:r>
    </w:p>
    <w:p>
      <w:pPr>
        <w:pStyle w:val="BodyTextFirstIndent"/>
        <w:widowControl/>
        <w:bidi w:val="0"/>
        <w:spacing w:before="0" w:after="0"/>
        <w:ind w:firstLine="720"/>
        <w:jc w:val="both"/>
        <w:rPr>
          <w:rFonts w:ascii="Times New Roman" w:hAnsi="Times New Roman"/>
        </w:rPr>
      </w:pPr>
      <w:r>
        <w:rPr>
          <w:rFonts w:ascii="TimesNewRoman" w:hAnsi="TimesNewRoman"/>
        </w:rPr>
        <w:t>“</w:t>
      </w:r>
      <w:r>
        <w:rPr>
          <w:rFonts w:ascii="TimesNewRoman" w:hAnsi="TimesNewRoman"/>
          <w:u w:val="single"/>
        </w:rPr>
        <w:t>Permitted Investments</w:t>
      </w:r>
      <w:r>
        <w:rPr>
          <w:rFonts w:ascii="TimesNewRoman" w:hAnsi="TimesNewRoman"/>
        </w:rPr>
        <w:t xml:space="preserve">”: </w:t>
      </w:r>
      <w:r>
        <w:rPr/>
        <w:t xml:space="preserve">Direct obligations of or guaranteed by the United Kingdom for the payment of which obligations or guarantee the full faith and credit of the United Kingdom is pledged or overnight Pound Sterling deposits in the London interbank market </w:t>
      </w:r>
      <w:r>
        <w:rPr>
          <w:strike/>
        </w:rPr>
        <w:t>issued by</w:t>
      </w:r>
      <w:r>
        <w:rPr/>
        <w:t xml:space="preserve"> </w:t>
      </w:r>
      <w:r>
        <w:rPr>
          <w:u w:val="double"/>
        </w:rPr>
        <w:t>with</w:t>
      </w:r>
      <w:r>
        <w:rPr/>
        <w:t xml:space="preserve"> any bank organized under the laws of the US or any political subdivision thereof or under the laws of Canada, Japan, Switzerland or any country that is a member of the European Union having a rating at least equal to Aa2 by Moody's and AA by S&amp;P.</w:t>
      </w:r>
    </w:p>
    <w:p>
      <w:pPr>
        <w:pStyle w:val="BodyTextFirstIndent"/>
        <w:widowControl/>
        <w:bidi w:val="0"/>
        <w:spacing w:before="240" w:after="240"/>
        <w:ind w:firstLine="720"/>
        <w:jc w:val="both"/>
        <w:rPr>
          <w:rFonts w:ascii="Times New Roman" w:hAnsi="Times New Roman"/>
        </w:rPr>
      </w:pPr>
      <w:r>
        <w:rPr/>
        <w:t xml:space="preserve"> “</w:t>
      </w:r>
      <w:r>
        <w:rPr>
          <w:u w:val="single"/>
        </w:rPr>
        <w:t>Person</w:t>
      </w:r>
      <w:r>
        <w:rPr/>
        <w:t>”: Any legal person, including any individual, corporation, partnership, limited liability company, joint venture, association, joint stock company, trust, unincorporated organization or government or any agency or political subdivision thereof or any other entity of whatever nature.</w:t>
      </w:r>
    </w:p>
    <w:p>
      <w:pPr>
        <w:pStyle w:val="BodyTextFirstIndent"/>
        <w:widowControl/>
        <w:bidi w:val="0"/>
        <w:ind w:firstLine="720"/>
        <w:jc w:val="both"/>
        <w:rPr>
          <w:rFonts w:ascii="Times New Roman" w:hAnsi="Times New Roman"/>
        </w:rPr>
      </w:pPr>
      <w:r>
        <w:rPr/>
        <w:t>“</w:t>
      </w:r>
      <w:r>
        <w:rPr>
          <w:u w:val="single"/>
        </w:rPr>
        <w:t>Pounds Sterling</w:t>
      </w:r>
      <w:r>
        <w:rPr/>
        <w:t xml:space="preserve">”: Such currency of the United Kingdom as at the time of payment is legal tender for the payment of public and private debts </w:t>
      </w:r>
      <w:r>
        <w:rPr>
          <w:u w:val="double"/>
        </w:rPr>
        <w:t>in the United Kingdom</w:t>
      </w:r>
      <w:r>
        <w:rPr/>
        <w:t>.</w:t>
      </w:r>
    </w:p>
    <w:p>
      <w:pPr>
        <w:pStyle w:val="BodyTextFirstIndent"/>
        <w:widowControl/>
        <w:bidi w:val="0"/>
        <w:ind w:firstLine="720"/>
        <w:jc w:val="both"/>
        <w:rPr>
          <w:rFonts w:ascii="Times New Roman" w:hAnsi="Times New Roman"/>
        </w:rPr>
      </w:pPr>
      <w:r>
        <w:rPr/>
        <w:t>“</w:t>
      </w:r>
      <w:r>
        <w:rPr>
          <w:u w:val="single"/>
        </w:rPr>
        <w:t>Predecessor Certificate</w:t>
      </w:r>
      <w:r>
        <w:rPr/>
        <w:t>”: With respect to any particular Certificate, every previous Certificate evidencing all or a portion of the same interest as that evidenced by such particular Certificate; and, for the purpose of this definition, any Certificate authenticated and delivered under Section 6.4 in lieu of a mutilated, lost, destroyed or stolen Certificate shall be deemed to evidence the same interest as such mutilated, lost, destroyed or stolen Certificate.</w:t>
      </w:r>
    </w:p>
    <w:p>
      <w:pPr>
        <w:pStyle w:val="BodyTextFirstIndent"/>
        <w:widowControl/>
        <w:bidi w:val="0"/>
        <w:ind w:firstLine="720"/>
        <w:jc w:val="both"/>
        <w:rPr>
          <w:rFonts w:ascii="Times New Roman" w:hAnsi="Times New Roman"/>
        </w:rPr>
      </w:pPr>
      <w:r>
        <w:rPr/>
        <w:t>“</w:t>
      </w:r>
      <w:r>
        <w:rPr>
          <w:u w:val="single"/>
        </w:rPr>
        <w:t>Proceeding</w:t>
      </w:r>
      <w:r>
        <w:rPr/>
        <w:t>”: Any suit in equity, action at law or other judicial or administrative proceeding.</w:t>
      </w:r>
    </w:p>
    <w:p>
      <w:pPr>
        <w:pStyle w:val="BodyTextFirstIndent"/>
        <w:widowControl/>
        <w:bidi w:val="0"/>
        <w:ind w:firstLine="720"/>
        <w:jc w:val="both"/>
        <w:rPr>
          <w:rFonts w:ascii="Times New Roman" w:hAnsi="Times New Roman"/>
        </w:rPr>
      </w:pPr>
      <w:r>
        <w:rPr/>
        <w:t>“</w:t>
      </w:r>
      <w:r>
        <w:rPr>
          <w:u w:val="single"/>
        </w:rPr>
        <w:t>Purchase Agreement</w:t>
      </w:r>
      <w:r>
        <w:rPr/>
        <w:t xml:space="preserve">”: The Purchase Agreement dated </w:t>
      </w:r>
      <w:r>
        <w:rPr>
          <w:strike/>
        </w:rPr>
        <w:t>______</w:t>
      </w:r>
      <w:r>
        <w:rPr>
          <w:u w:val="double"/>
        </w:rPr>
        <w:t>June ___</w:t>
      </w:r>
      <w:r>
        <w:rPr/>
        <w:t>, 2000 among the Company, the Trust and the Initial Purchaser.</w:t>
      </w:r>
    </w:p>
    <w:p>
      <w:pPr>
        <w:pStyle w:val="BodyTextFirstIndent"/>
        <w:widowControl/>
        <w:bidi w:val="0"/>
        <w:ind w:firstLine="720"/>
        <w:jc w:val="both"/>
        <w:rPr>
          <w:rFonts w:ascii="Times New Roman" w:hAnsi="Times New Roman"/>
        </w:rPr>
      </w:pPr>
      <w:r>
        <w:rPr/>
        <w:t>“</w:t>
      </w:r>
      <w:r>
        <w:rPr>
          <w:u w:val="single"/>
        </w:rPr>
        <w:t>Qualified Institutional Buyer</w:t>
      </w:r>
      <w:r>
        <w:rPr/>
        <w:t>” or “</w:t>
      </w:r>
      <w:r>
        <w:rPr>
          <w:u w:val="single"/>
        </w:rPr>
        <w:t>QIB</w:t>
      </w:r>
      <w:r>
        <w:rPr/>
        <w:t>”: A “qualified institutional buyer” as defined in paragraph (a) of Rule 144A.</w:t>
      </w:r>
    </w:p>
    <w:p>
      <w:pPr>
        <w:pStyle w:val="BodyTextFirstIndent"/>
        <w:widowControl/>
        <w:bidi w:val="0"/>
        <w:ind w:firstLine="720"/>
        <w:jc w:val="both"/>
        <w:rPr>
          <w:rFonts w:ascii="Times New Roman" w:hAnsi="Times New Roman"/>
        </w:rPr>
      </w:pPr>
      <w:r>
        <w:rPr/>
        <w:t>“</w:t>
      </w:r>
      <w:r>
        <w:rPr>
          <w:u w:val="single"/>
        </w:rPr>
        <w:t xml:space="preserve">Rating </w:t>
      </w:r>
      <w:r>
        <w:rPr>
          <w:strike/>
          <w:u w:val="single"/>
        </w:rPr>
        <w:t>Agencies”:</w:t>
      </w:r>
      <w:r>
        <w:rPr>
          <w:u w:val="single"/>
        </w:rPr>
        <w:t xml:space="preserve"> </w:t>
      </w:r>
      <w:r>
        <w:rPr>
          <w:u w:val="double"/>
        </w:rPr>
        <w:t>Agency”: Each of</w:t>
      </w:r>
      <w:r>
        <w:rPr/>
        <w:t xml:space="preserve"> DCR, Moody’s and S&amp;P.</w:t>
      </w:r>
    </w:p>
    <w:p>
      <w:pPr>
        <w:pStyle w:val="BodyTextFirstIndent"/>
        <w:widowControl/>
        <w:bidi w:val="0"/>
        <w:ind w:firstLine="720"/>
        <w:jc w:val="both"/>
        <w:rPr>
          <w:rFonts w:ascii="Times New Roman" w:hAnsi="Times New Roman"/>
        </w:rPr>
      </w:pPr>
      <w:r>
        <w:rPr/>
        <w:t>“</w:t>
      </w:r>
      <w:r>
        <w:rPr>
          <w:u w:val="single"/>
        </w:rPr>
        <w:t>Rating Agency Condition</w:t>
      </w:r>
      <w:r>
        <w:rPr/>
        <w:t>”: With respect to any action, that each of the Rating Agencies shall have been given ten days (or such shorter period as may be acceptable to each Rating Agency) prior notice thereof and that each of the Rating Agencies shall have notified the Company and the Trustee in writing that such action will not result in a reduction, withdrawal or qualification of the then current rating of the Certificates.</w:t>
      </w:r>
    </w:p>
    <w:p>
      <w:pPr>
        <w:pStyle w:val="BodyTextFirstIndent"/>
        <w:widowControl/>
        <w:bidi w:val="0"/>
        <w:ind w:firstLine="720"/>
        <w:jc w:val="both"/>
        <w:rPr>
          <w:rFonts w:ascii="Times New Roman" w:hAnsi="Times New Roman"/>
        </w:rPr>
      </w:pPr>
      <w:r>
        <w:rPr/>
        <w:t>“</w:t>
      </w:r>
      <w:r>
        <w:rPr>
          <w:u w:val="single"/>
        </w:rPr>
        <w:t>Record Date</w:t>
      </w:r>
      <w:r>
        <w:rPr/>
        <w:t xml:space="preserve">”: With respect to any Distribution Date, the close of business on the Business Day immediately preceding such Distribution Date; </w:t>
      </w:r>
      <w:r>
        <w:rPr>
          <w:i/>
        </w:rPr>
        <w:t>provided, however</w:t>
      </w:r>
      <w:r>
        <w:rPr/>
        <w:t>, that no Record Date shall be applicable to distributions to be made on the Final Distribution Date.</w:t>
      </w:r>
    </w:p>
    <w:p>
      <w:pPr>
        <w:pStyle w:val="BodyTextFirstIndent"/>
        <w:widowControl/>
        <w:bidi w:val="0"/>
        <w:ind w:firstLine="720"/>
        <w:jc w:val="both"/>
        <w:rPr>
          <w:rFonts w:ascii="Times New Roman" w:hAnsi="Times New Roman"/>
        </w:rPr>
      </w:pPr>
      <w:r>
        <w:rPr/>
        <w:t>“</w:t>
      </w:r>
      <w:r>
        <w:rPr>
          <w:u w:val="single"/>
        </w:rPr>
        <w:t>Regulation S</w:t>
      </w:r>
      <w:r>
        <w:rPr/>
        <w:t>”: Regulation S promulgated under the Securities Act.</w:t>
      </w:r>
    </w:p>
    <w:p>
      <w:pPr>
        <w:pStyle w:val="BodyTextFirstIndent"/>
        <w:widowControl/>
        <w:bidi w:val="0"/>
        <w:ind w:firstLine="720"/>
        <w:jc w:val="both"/>
        <w:rPr>
          <w:rFonts w:ascii="Times New Roman" w:hAnsi="Times New Roman"/>
        </w:rPr>
      </w:pPr>
      <w:r>
        <w:rPr/>
        <w:t>“</w:t>
      </w:r>
      <w:r>
        <w:rPr>
          <w:u w:val="single"/>
        </w:rPr>
        <w:t>Regulation S Global Security</w:t>
      </w:r>
      <w:r>
        <w:rPr/>
        <w:t>”: As defined in Section 5.1.</w:t>
      </w:r>
    </w:p>
    <w:p>
      <w:pPr>
        <w:pStyle w:val="BodyTextFirstIndent"/>
        <w:widowControl/>
        <w:bidi w:val="0"/>
        <w:ind w:firstLine="720"/>
        <w:jc w:val="both"/>
        <w:rPr>
          <w:rFonts w:ascii="Times New Roman" w:hAnsi="Times New Roman"/>
        </w:rPr>
      </w:pPr>
      <w:r>
        <w:rPr/>
        <w:t>“</w:t>
      </w:r>
      <w:r>
        <w:rPr>
          <w:u w:val="single"/>
        </w:rPr>
        <w:t>Required Percentage</w:t>
      </w:r>
      <w:r>
        <w:rPr/>
        <w:t>”: Unless otherwise specified herein, a majority of the aggregate Voting Rights of the Certificates.</w:t>
      </w:r>
    </w:p>
    <w:p>
      <w:pPr>
        <w:pStyle w:val="BodyTextFirstIndent"/>
        <w:widowControl/>
        <w:bidi w:val="0"/>
        <w:ind w:firstLine="720"/>
        <w:jc w:val="both"/>
        <w:rPr>
          <w:rFonts w:ascii="Times New Roman" w:hAnsi="Times New Roman"/>
        </w:rPr>
      </w:pPr>
      <w:r>
        <w:rPr/>
        <w:t>“</w:t>
      </w:r>
      <w:r>
        <w:rPr>
          <w:u w:val="single"/>
        </w:rPr>
        <w:t>Required Percentage—Amendment</w:t>
      </w:r>
      <w:r>
        <w:rPr/>
        <w:t>”: At least 66 2/3% of the aggregate Voting Rights of the Certificates.</w:t>
      </w:r>
    </w:p>
    <w:p>
      <w:pPr>
        <w:pStyle w:val="BodyTextFirstIndent"/>
        <w:widowControl/>
        <w:bidi w:val="0"/>
        <w:ind w:firstLine="720"/>
        <w:jc w:val="both"/>
        <w:rPr>
          <w:rFonts w:ascii="Times New Roman" w:hAnsi="Times New Roman"/>
        </w:rPr>
      </w:pPr>
      <w:r>
        <w:rPr/>
        <w:t>“</w:t>
      </w:r>
      <w:r>
        <w:rPr>
          <w:u w:val="single"/>
        </w:rPr>
        <w:t>Required Percentage—Direction of Trustee</w:t>
      </w:r>
      <w:r>
        <w:rPr/>
        <w:t>”: A majority of the aggregate Voting Rights of the Certificates.</w:t>
      </w:r>
    </w:p>
    <w:p>
      <w:pPr>
        <w:pStyle w:val="BodyTextFirstIndent"/>
        <w:widowControl/>
        <w:bidi w:val="0"/>
        <w:ind w:firstLine="720"/>
        <w:jc w:val="both"/>
        <w:rPr>
          <w:rFonts w:ascii="Times New Roman" w:hAnsi="Times New Roman"/>
        </w:rPr>
      </w:pPr>
      <w:r>
        <w:rPr/>
        <w:t>“</w:t>
      </w:r>
      <w:r>
        <w:rPr>
          <w:u w:val="single"/>
        </w:rPr>
        <w:t>Required Percentage—Remedies</w:t>
      </w:r>
      <w:r>
        <w:rPr/>
        <w:t>”: At least 66 2/3% of the aggregate Voting Rights of the Certificates.</w:t>
      </w:r>
    </w:p>
    <w:p>
      <w:pPr>
        <w:pStyle w:val="BodyTextFirstIndent"/>
        <w:widowControl/>
        <w:bidi w:val="0"/>
        <w:ind w:firstLine="720"/>
        <w:jc w:val="both"/>
        <w:rPr>
          <w:rFonts w:ascii="Times New Roman" w:hAnsi="Times New Roman"/>
        </w:rPr>
      </w:pPr>
      <w:r>
        <w:rPr/>
        <w:t>“</w:t>
      </w:r>
      <w:r>
        <w:rPr>
          <w:u w:val="single"/>
        </w:rPr>
        <w:t>Required Percentage—Waiver</w:t>
      </w:r>
      <w:r>
        <w:rPr/>
        <w:t>”: At least 66 2/3% of the aggregate Voting Rights of the Certificates.</w:t>
      </w:r>
    </w:p>
    <w:p>
      <w:pPr>
        <w:pStyle w:val="BodyTextFirstIndent"/>
        <w:widowControl/>
        <w:bidi w:val="0"/>
        <w:ind w:firstLine="720"/>
        <w:jc w:val="both"/>
        <w:rPr>
          <w:rFonts w:ascii="Times New Roman" w:hAnsi="Times New Roman"/>
        </w:rPr>
      </w:pPr>
      <w:r>
        <w:rPr/>
        <w:t>“</w:t>
      </w:r>
      <w:r>
        <w:rPr>
          <w:u w:val="single"/>
        </w:rPr>
        <w:t>Responsible Officer</w:t>
      </w:r>
      <w:r>
        <w:rPr/>
        <w:t>”: The chairman or any vice-chairman of the board of directors, the chairman or any vice-chairman of the executive committee of the board of directors, the chairman of the trust committee, the president, any vice president, any assistant vice president, the treasurer, any assistant treasurer, any trust officer, the controller or any assistant controller or any other officer of the Trustee customarily performing functions similar to those performed by any of the above designated officers and also means, with respect to a particular corporate trust matter, any other officer to whom such matter is referred because of his knowledge of and familiarity with the particular subject.</w:t>
      </w:r>
    </w:p>
    <w:p>
      <w:pPr>
        <w:pStyle w:val="BodyTextFirstIndent"/>
        <w:widowControl/>
        <w:bidi w:val="0"/>
        <w:ind w:firstLine="720"/>
        <w:jc w:val="both"/>
        <w:rPr>
          <w:rFonts w:ascii="Times New Roman" w:hAnsi="Times New Roman"/>
        </w:rPr>
      </w:pPr>
      <w:r>
        <w:rPr/>
        <w:t>“</w:t>
      </w:r>
      <w:r>
        <w:rPr>
          <w:u w:val="single"/>
        </w:rPr>
        <w:t>Rule 144</w:t>
      </w:r>
      <w:r>
        <w:rPr/>
        <w:t>”: Rule 144 promulgated under the Securities Act.</w:t>
      </w:r>
    </w:p>
    <w:p>
      <w:pPr>
        <w:pStyle w:val="BodyTextFirstIndent"/>
        <w:widowControl/>
        <w:bidi w:val="0"/>
        <w:ind w:firstLine="720"/>
        <w:jc w:val="both"/>
        <w:rPr>
          <w:rFonts w:ascii="Times New Roman" w:hAnsi="Times New Roman"/>
        </w:rPr>
      </w:pPr>
      <w:r>
        <w:rPr/>
        <w:t>“</w:t>
      </w:r>
      <w:r>
        <w:rPr>
          <w:u w:val="single"/>
        </w:rPr>
        <w:t>Rule 144A</w:t>
      </w:r>
      <w:r>
        <w:rPr/>
        <w:t>”: Rule 144A promulgated under the Securities Act.</w:t>
      </w:r>
    </w:p>
    <w:p>
      <w:pPr>
        <w:pStyle w:val="BodyTextFirstIndent"/>
        <w:widowControl/>
        <w:bidi w:val="0"/>
        <w:ind w:firstLine="720"/>
        <w:jc w:val="both"/>
        <w:rPr>
          <w:rFonts w:ascii="Times New Roman" w:hAnsi="Times New Roman"/>
        </w:rPr>
      </w:pPr>
      <w:r>
        <w:rPr/>
        <w:t>“</w:t>
      </w:r>
      <w:r>
        <w:rPr>
          <w:u w:val="single"/>
        </w:rPr>
        <w:t>Rule 144A Global Security</w:t>
      </w:r>
      <w:r>
        <w:rPr/>
        <w:t>”: As defined in Section 5.1.</w:t>
      </w:r>
    </w:p>
    <w:p>
      <w:pPr>
        <w:pStyle w:val="BodyTextFirstIndent"/>
        <w:widowControl/>
        <w:bidi w:val="0"/>
        <w:ind w:firstLine="720"/>
        <w:jc w:val="both"/>
        <w:rPr>
          <w:rFonts w:ascii="Times New Roman" w:hAnsi="Times New Roman"/>
        </w:rPr>
      </w:pPr>
      <w:r>
        <w:rPr/>
        <w:t>“</w:t>
      </w:r>
      <w:r>
        <w:rPr>
          <w:u w:val="single"/>
        </w:rPr>
        <w:t>Rule 144A Information</w:t>
      </w:r>
      <w:r>
        <w:rPr/>
        <w:t>”: As defined in Section 4.6.</w:t>
      </w:r>
    </w:p>
    <w:p>
      <w:pPr>
        <w:pStyle w:val="BodyTextFirstIndent"/>
        <w:widowControl/>
        <w:bidi w:val="0"/>
        <w:ind w:firstLine="720"/>
        <w:jc w:val="both"/>
        <w:rPr>
          <w:rFonts w:ascii="Times New Roman" w:hAnsi="Times New Roman"/>
        </w:rPr>
      </w:pPr>
      <w:r>
        <w:rPr/>
        <w:t>“</w:t>
      </w:r>
      <w:r>
        <w:rPr>
          <w:u w:val="single"/>
        </w:rPr>
        <w:t>S&amp;P</w:t>
      </w:r>
      <w:r>
        <w:rPr/>
        <w:t xml:space="preserve">”: Standard </w:t>
      </w:r>
      <w:r>
        <w:rPr>
          <w:strike/>
        </w:rPr>
        <w:t>and</w:t>
      </w:r>
      <w:r>
        <w:rPr/>
        <w:t xml:space="preserve"> </w:t>
      </w:r>
      <w:r>
        <w:rPr>
          <w:u w:val="double"/>
        </w:rPr>
        <w:t>&amp;</w:t>
      </w:r>
      <w:r>
        <w:rPr/>
        <w:t xml:space="preserve"> Poor’s Ratings Services, a division of The McGraw-Hill Companies, or its successor.</w:t>
      </w:r>
    </w:p>
    <w:p>
      <w:pPr>
        <w:pStyle w:val="BodyTextFirstIndent"/>
        <w:widowControl/>
        <w:bidi w:val="0"/>
        <w:ind w:firstLine="720"/>
        <w:jc w:val="both"/>
        <w:rPr>
          <w:rFonts w:ascii="Times New Roman" w:hAnsi="Times New Roman"/>
        </w:rPr>
      </w:pPr>
      <w:r>
        <w:rPr/>
        <w:t>“</w:t>
      </w:r>
      <w:r>
        <w:rPr>
          <w:u w:val="single"/>
        </w:rPr>
        <w:t>Securities Act</w:t>
      </w:r>
      <w:r>
        <w:rPr/>
        <w:t>”: The US Securities Act of 1933, as amended.</w:t>
      </w:r>
    </w:p>
    <w:p>
      <w:pPr>
        <w:pStyle w:val="BodyTextFirstIndent"/>
        <w:widowControl/>
        <w:bidi w:val="0"/>
        <w:ind w:firstLine="720"/>
        <w:jc w:val="both"/>
        <w:rPr>
          <w:rFonts w:ascii="Times New Roman" w:hAnsi="Times New Roman"/>
        </w:rPr>
      </w:pPr>
      <w:r>
        <w:rPr/>
        <w:t>“</w:t>
      </w:r>
      <w:r>
        <w:rPr>
          <w:u w:val="single"/>
        </w:rPr>
        <w:t>Settlement Date</w:t>
      </w:r>
      <w:r>
        <w:rPr/>
        <w:t xml:space="preserve">”: </w:t>
      </w:r>
      <w:r>
        <w:rPr>
          <w:strike/>
        </w:rPr>
        <w:t>______</w:t>
      </w:r>
      <w:r>
        <w:rPr>
          <w:u w:val="double"/>
        </w:rPr>
        <w:t>June 15, 2003</w:t>
      </w:r>
      <w:r>
        <w:rPr/>
        <w:t xml:space="preserve"> or, if such day is not a Business Day, the next succeeding Business Day.</w:t>
      </w:r>
    </w:p>
    <w:p>
      <w:pPr>
        <w:pStyle w:val="BodyTextFirstIndent"/>
        <w:widowControl/>
        <w:bidi w:val="0"/>
        <w:ind w:firstLine="720"/>
        <w:jc w:val="both"/>
        <w:rPr>
          <w:rFonts w:ascii="Times New Roman" w:hAnsi="Times New Roman"/>
        </w:rPr>
      </w:pPr>
      <w:r>
        <w:rPr/>
        <w:t>“</w:t>
      </w:r>
      <w:r>
        <w:rPr>
          <w:u w:val="single"/>
        </w:rPr>
        <w:t>State</w:t>
      </w:r>
      <w:r>
        <w:rPr/>
        <w:t>”: Any one of the 50 states of the United States or the District of Columbia.</w:t>
      </w:r>
    </w:p>
    <w:p>
      <w:pPr>
        <w:pStyle w:val="BodyTextFirstIndent"/>
        <w:widowControl/>
        <w:bidi w:val="0"/>
        <w:ind w:firstLine="720"/>
        <w:jc w:val="both"/>
        <w:rPr>
          <w:rFonts w:ascii="Times New Roman" w:hAnsi="Times New Roman"/>
        </w:rPr>
      </w:pPr>
      <w:r>
        <w:rPr/>
        <w:t>“</w:t>
      </w:r>
      <w:r>
        <w:rPr>
          <w:u w:val="single"/>
        </w:rPr>
        <w:t>Sterling Swap Payment</w:t>
      </w:r>
      <w:r>
        <w:rPr/>
        <w:t xml:space="preserve">”: A semi-annual payment made by the </w:t>
      </w:r>
      <w:r>
        <w:rPr>
          <w:strike/>
        </w:rPr>
        <w:t>Trustee</w:t>
      </w:r>
      <w:r>
        <w:rPr/>
        <w:t xml:space="preserve"> </w:t>
      </w:r>
      <w:r>
        <w:rPr>
          <w:u w:val="double"/>
        </w:rPr>
        <w:t>Trust</w:t>
      </w:r>
      <w:r>
        <w:rPr/>
        <w:t xml:space="preserve"> to the Swap Counterparty that is calculated to equal the Pound Sterling semi-annual interest payment required to be made by the Company on the Notes.</w:t>
      </w:r>
    </w:p>
    <w:p>
      <w:pPr>
        <w:pStyle w:val="BodyTextFirstIndent"/>
        <w:widowControl/>
        <w:bidi w:val="0"/>
        <w:ind w:firstLine="720"/>
        <w:jc w:val="both"/>
        <w:rPr>
          <w:rFonts w:ascii="Times New Roman" w:hAnsi="Times New Roman"/>
        </w:rPr>
      </w:pPr>
      <w:r>
        <w:rPr/>
        <w:t>“</w:t>
      </w:r>
      <w:r>
        <w:rPr>
          <w:u w:val="single"/>
        </w:rPr>
        <w:t>Successor Certificate</w:t>
      </w:r>
      <w:r>
        <w:rPr/>
        <w:t>”: Of any particular Certificate, every Certificate issued after, and evidencing all or a portion of the same interest as that evidenced by, such particular Certificate; and, for the purposes of this definition, any Certificate authenticated and delivered under Section 6.4 in exchange for or in lieu of a mutilated, destroyed, lost or stolen Certificate shall be deemed to evidence the same interest as such mutilated, destroyed, lost or stolen Certificate.</w:t>
      </w:r>
    </w:p>
    <w:p>
      <w:pPr>
        <w:pStyle w:val="BodyTextFirstIndent"/>
        <w:widowControl/>
        <w:bidi w:val="0"/>
        <w:ind w:firstLine="720"/>
        <w:jc w:val="both"/>
        <w:rPr>
          <w:rFonts w:ascii="Times New Roman" w:hAnsi="Times New Roman"/>
        </w:rPr>
      </w:pPr>
      <w:r>
        <w:rPr/>
        <w:t>“</w:t>
      </w:r>
      <w:r>
        <w:rPr>
          <w:u w:val="single"/>
        </w:rPr>
        <w:t>Supplemental Indenture</w:t>
      </w:r>
      <w:r>
        <w:rPr/>
        <w:t xml:space="preserve">”: The </w:t>
      </w:r>
      <w:r>
        <w:rPr>
          <w:strike/>
        </w:rPr>
        <w:t>Second</w:t>
      </w:r>
      <w:r>
        <w:rPr/>
        <w:t xml:space="preserve"> </w:t>
      </w:r>
      <w:r>
        <w:rPr>
          <w:u w:val="double"/>
        </w:rPr>
        <w:t>Fifth</w:t>
      </w:r>
      <w:r>
        <w:rPr/>
        <w:t xml:space="preserve"> Supplemental Indenture dated as of </w:t>
      </w:r>
      <w:r>
        <w:rPr>
          <w:strike/>
        </w:rPr>
        <w:t>_____</w:t>
      </w:r>
      <w:r>
        <w:rPr>
          <w:u w:val="double"/>
        </w:rPr>
        <w:t>June 1</w:t>
      </w:r>
      <w:r>
        <w:rPr/>
        <w:t>, 2000 between the Company and the Indenture Trustee to the Indenture.</w:t>
      </w:r>
    </w:p>
    <w:p>
      <w:pPr>
        <w:pStyle w:val="BodyTextFirstIndent"/>
        <w:widowControl/>
        <w:bidi w:val="0"/>
        <w:ind w:firstLine="720"/>
        <w:jc w:val="both"/>
        <w:rPr>
          <w:rFonts w:ascii="Times New Roman" w:hAnsi="Times New Roman"/>
        </w:rPr>
      </w:pPr>
      <w:r>
        <w:rPr/>
        <w:t>“</w:t>
      </w:r>
      <w:r>
        <w:rPr>
          <w:u w:val="single"/>
        </w:rPr>
        <w:t>Swap Counterparty</w:t>
      </w:r>
      <w:r>
        <w:rPr/>
        <w:t xml:space="preserve">”: UBS AG, London Branch, or </w:t>
      </w:r>
      <w:r>
        <w:rPr>
          <w:u w:val="double"/>
        </w:rPr>
        <w:t>any of</w:t>
      </w:r>
      <w:r>
        <w:rPr/>
        <w:t xml:space="preserve"> its successors.</w:t>
      </w:r>
    </w:p>
    <w:p>
      <w:pPr>
        <w:pStyle w:val="BodyTextFirstIndent"/>
        <w:widowControl/>
        <w:bidi w:val="0"/>
        <w:ind w:firstLine="720"/>
        <w:jc w:val="both"/>
        <w:rPr>
          <w:rFonts w:ascii="Times New Roman" w:hAnsi="Times New Roman"/>
        </w:rPr>
      </w:pPr>
      <w:r>
        <w:rPr/>
        <w:t>“</w:t>
      </w:r>
      <w:r>
        <w:rPr>
          <w:u w:val="single"/>
        </w:rPr>
        <w:t>Swap Payment</w:t>
      </w:r>
      <w:r>
        <w:rPr/>
        <w:t>”: Either of a Dollar Swap Payment or a Sterling Swap Payment.</w:t>
      </w:r>
    </w:p>
    <w:p>
      <w:pPr>
        <w:pStyle w:val="BodyTextFirstIndent"/>
        <w:widowControl/>
        <w:bidi w:val="0"/>
        <w:ind w:firstLine="720"/>
        <w:jc w:val="both"/>
        <w:rPr>
          <w:rFonts w:ascii="Times New Roman" w:hAnsi="Times New Roman"/>
        </w:rPr>
      </w:pPr>
      <w:r>
        <w:rPr/>
        <w:t>“</w:t>
      </w:r>
      <w:r>
        <w:rPr>
          <w:u w:val="single"/>
        </w:rPr>
        <w:t>Swap Termination Event</w:t>
      </w:r>
      <w:r>
        <w:rPr/>
        <w:t xml:space="preserve">”: Shall mean the termination of the Currency Swap in accordance with its terms on </w:t>
      </w:r>
      <w:r>
        <w:rPr>
          <w:strike/>
        </w:rPr>
        <w:t>______</w:t>
      </w:r>
      <w:r>
        <w:rPr>
          <w:u w:val="double"/>
        </w:rPr>
        <w:t>June 15, 2003</w:t>
      </w:r>
      <w:r>
        <w:rPr/>
        <w:t xml:space="preserve"> (or, if such day is not a Business Day, the next succeeding Business Day) unless earlier terminated as a result of (a) the failure for 30 days by the </w:t>
      </w:r>
      <w:r>
        <w:rPr>
          <w:strike/>
        </w:rPr>
        <w:t>Trustee</w:t>
      </w:r>
      <w:r>
        <w:rPr/>
        <w:t xml:space="preserve"> </w:t>
      </w:r>
      <w:r>
        <w:rPr>
          <w:u w:val="double"/>
        </w:rPr>
        <w:t>Trust</w:t>
      </w:r>
      <w:r>
        <w:rPr/>
        <w:t xml:space="preserve"> to make a Sterling Swap Payment thereunder, (b) the failure by the Swap Counterparty to make a Dollar Swap Payment thereunder if such failure is not remedied on or before the third Business Day after notice of such failure is given by the Trustee to the Swap Counterparty, (c) the occurrence of a Conversion Event, (d) the commencement of insolvency, conservatorship or receivership proceedings in respect of the Trust or (e) certain other events as described in the Currency Swap.</w:t>
      </w:r>
    </w:p>
    <w:p>
      <w:pPr>
        <w:pStyle w:val="BodyTextFirstIndent"/>
        <w:widowControl/>
        <w:bidi w:val="0"/>
        <w:ind w:firstLine="720"/>
        <w:jc w:val="both"/>
        <w:rPr>
          <w:rFonts w:ascii="Times New Roman" w:hAnsi="Times New Roman"/>
        </w:rPr>
      </w:pPr>
      <w:r>
        <w:rPr/>
        <w:t>“</w:t>
      </w:r>
      <w:r>
        <w:rPr>
          <w:u w:val="single"/>
        </w:rPr>
        <w:t>Swap Termination Payment</w:t>
      </w:r>
      <w:r>
        <w:rPr/>
        <w:t xml:space="preserve">”: Following a Swap Termination Event (other than as a result of a Conversion Event), payment of the amount, if any, due to the </w:t>
      </w:r>
      <w:r>
        <w:rPr>
          <w:strike/>
        </w:rPr>
        <w:t>Trustee</w:t>
      </w:r>
      <w:r>
        <w:rPr/>
        <w:t xml:space="preserve"> </w:t>
      </w:r>
      <w:r>
        <w:rPr>
          <w:u w:val="double"/>
        </w:rPr>
        <w:t>Trust</w:t>
      </w:r>
      <w:r>
        <w:rPr/>
        <w:t xml:space="preserve"> calculated as provided in the Currency Swap.</w:t>
      </w:r>
    </w:p>
    <w:p>
      <w:pPr>
        <w:pStyle w:val="BodyTextFirstIndent"/>
        <w:widowControl/>
        <w:bidi w:val="0"/>
        <w:ind w:firstLine="720"/>
        <w:jc w:val="both"/>
        <w:rPr>
          <w:rFonts w:ascii="Times New Roman" w:hAnsi="Times New Roman"/>
        </w:rPr>
      </w:pPr>
      <w:r>
        <w:rPr/>
        <w:t>“</w:t>
      </w:r>
      <w:r>
        <w:rPr>
          <w:u w:val="single"/>
        </w:rPr>
        <w:t>Trust</w:t>
      </w:r>
      <w:r>
        <w:rPr/>
        <w:t>”: Enron Pass-Through Asset Trust 2000-1, the trust created hereby and to be administered hereunder for the benefit of the Certificateholders, the corpus of which consists of the Trust Assets.</w:t>
      </w:r>
    </w:p>
    <w:p>
      <w:pPr>
        <w:pStyle w:val="BodyTextFirstIndent"/>
        <w:widowControl/>
        <w:bidi w:val="0"/>
        <w:ind w:firstLine="720"/>
        <w:jc w:val="both"/>
        <w:rPr>
          <w:rFonts w:ascii="Times New Roman" w:hAnsi="Times New Roman"/>
        </w:rPr>
      </w:pPr>
      <w:r>
        <w:rPr/>
        <w:t>“</w:t>
      </w:r>
      <w:r>
        <w:rPr>
          <w:u w:val="single"/>
        </w:rPr>
        <w:t>Trust Assets</w:t>
      </w:r>
      <w:r>
        <w:rPr/>
        <w:t xml:space="preserve">”: (a) the Notes, (b) the rights of the </w:t>
      </w:r>
      <w:r>
        <w:rPr>
          <w:strike/>
        </w:rPr>
        <w:t>Trustee</w:t>
      </w:r>
      <w:r>
        <w:rPr/>
        <w:t xml:space="preserve"> </w:t>
      </w:r>
      <w:r>
        <w:rPr>
          <w:u w:val="double"/>
        </w:rPr>
        <w:t>Trust</w:t>
      </w:r>
      <w:r>
        <w:rPr/>
        <w:t xml:space="preserve"> under the Call Option, (c) the rights of the </w:t>
      </w:r>
      <w:r>
        <w:rPr>
          <w:strike/>
        </w:rPr>
        <w:t>Trustee</w:t>
      </w:r>
      <w:r>
        <w:rPr/>
        <w:t xml:space="preserve"> </w:t>
      </w:r>
      <w:r>
        <w:rPr>
          <w:u w:val="double"/>
        </w:rPr>
        <w:t>Trust</w:t>
      </w:r>
      <w:r>
        <w:rPr/>
        <w:t xml:space="preserve"> under the Currency Swap and (d) except as otherwise provided by Section 3.3, any funds on deposit in the Certificate Account, together with, in each case, any payments received by the </w:t>
      </w:r>
      <w:r>
        <w:rPr>
          <w:strike/>
        </w:rPr>
        <w:t>Trustee</w:t>
      </w:r>
      <w:r>
        <w:rPr/>
        <w:t xml:space="preserve"> </w:t>
      </w:r>
      <w:r>
        <w:rPr>
          <w:u w:val="double"/>
        </w:rPr>
        <w:t>Trust</w:t>
      </w:r>
      <w:r>
        <w:rPr/>
        <w:t xml:space="preserve"> in connection with any such assets.</w:t>
      </w:r>
    </w:p>
    <w:p>
      <w:pPr>
        <w:pStyle w:val="BodyTextFirstIndent"/>
        <w:widowControl/>
        <w:bidi w:val="0"/>
        <w:ind w:firstLine="720"/>
        <w:jc w:val="both"/>
        <w:rPr>
          <w:rFonts w:ascii="Times New Roman" w:hAnsi="Times New Roman"/>
        </w:rPr>
      </w:pPr>
      <w:r>
        <w:rPr/>
        <w:t>“</w:t>
      </w:r>
      <w:r>
        <w:rPr>
          <w:u w:val="single"/>
        </w:rPr>
        <w:t>Trust Termination Event</w:t>
      </w:r>
      <w:r>
        <w:rPr/>
        <w:t xml:space="preserve">”: The first to occur of (a) the discharge by the Company of all of its obligations in respect of the Notes following a Conversion Event, either by (i) payment in full of all amounts thereby due and payable under the Notes or (ii) payment of a lesser amount that all Certificateholders agree shall be a complete satisfaction and discharge of the Company’s obligations in respect of the Notes or (b) the final adjudication or settlement of all claims in respect of the Notes following a bankruptcy, reorganization or similar proceeding of the Company. </w:t>
      </w:r>
    </w:p>
    <w:p>
      <w:pPr>
        <w:pStyle w:val="BodyTextFirstIndent"/>
        <w:widowControl/>
        <w:bidi w:val="0"/>
        <w:ind w:firstLine="720"/>
        <w:jc w:val="both"/>
        <w:rPr>
          <w:rFonts w:ascii="Times New Roman" w:hAnsi="Times New Roman"/>
        </w:rPr>
      </w:pPr>
      <w:r>
        <w:rPr/>
        <w:t>“</w:t>
      </w:r>
      <w:r>
        <w:rPr>
          <w:u w:val="single"/>
        </w:rPr>
        <w:t>Trustee</w:t>
      </w:r>
      <w:r>
        <w:rPr/>
        <w:t>”: The Bank of New York or any co-trustee appointed pursuant to Section 9.8, until a successor Person shall have become the Trustee pursuant to the applicable provisions of this Agreement, and thereafter “Trustee” shall mean such successor Person.</w:t>
      </w:r>
    </w:p>
    <w:p>
      <w:pPr>
        <w:pStyle w:val="BodyTextFirstIndent"/>
        <w:widowControl/>
        <w:bidi w:val="0"/>
        <w:ind w:firstLine="720"/>
        <w:jc w:val="both"/>
        <w:rPr>
          <w:rFonts w:ascii="Times New Roman" w:hAnsi="Times New Roman"/>
        </w:rPr>
      </w:pPr>
      <w:r>
        <w:rPr/>
        <w:t xml:space="preserve"> “</w:t>
      </w:r>
      <w:r>
        <w:rPr>
          <w:u w:val="single"/>
        </w:rPr>
        <w:t>Uniform Commercial Code</w:t>
      </w:r>
      <w:r>
        <w:rPr/>
        <w:t>”: The Uniform Commercial Code as in effect in the relevant jurisdiction.</w:t>
      </w:r>
    </w:p>
    <w:p>
      <w:pPr>
        <w:pStyle w:val="BodyTextFirstIndent"/>
        <w:widowControl/>
        <w:bidi w:val="0"/>
        <w:ind w:firstLine="720"/>
        <w:jc w:val="both"/>
        <w:rPr>
          <w:rFonts w:ascii="Times New Roman" w:hAnsi="Times New Roman"/>
        </w:rPr>
      </w:pPr>
      <w:r>
        <w:rPr/>
        <w:t>“</w:t>
      </w:r>
      <w:r>
        <w:rPr>
          <w:u w:val="single"/>
        </w:rPr>
        <w:t>United States</w:t>
      </w:r>
      <w:r>
        <w:rPr/>
        <w:t>” or “</w:t>
      </w:r>
      <w:r>
        <w:rPr>
          <w:u w:val="single"/>
        </w:rPr>
        <w:t>US</w:t>
      </w:r>
      <w:r>
        <w:rPr/>
        <w:t>”: The United States of America (including the States), its territories, its possessions and other areas subject to its jurisdiction.</w:t>
      </w:r>
    </w:p>
    <w:p>
      <w:pPr>
        <w:pStyle w:val="BodyTextFirstIndent"/>
        <w:widowControl/>
        <w:bidi w:val="0"/>
        <w:ind w:firstLine="720"/>
        <w:jc w:val="both"/>
        <w:rPr>
          <w:rFonts w:ascii="Times New Roman" w:hAnsi="Times New Roman"/>
        </w:rPr>
      </w:pPr>
      <w:r>
        <w:rPr/>
        <w:t>“</w:t>
      </w:r>
      <w:r>
        <w:rPr>
          <w:u w:val="single"/>
        </w:rPr>
        <w:t>Unpaid Amounts</w:t>
      </w:r>
      <w:r>
        <w:rPr/>
        <w:t>”: Shall have the meaning set forth in the Currency Swap.</w:t>
      </w:r>
    </w:p>
    <w:p>
      <w:pPr>
        <w:pStyle w:val="BodyTextFirstIndent"/>
        <w:widowControl/>
        <w:bidi w:val="0"/>
        <w:ind w:firstLine="720"/>
        <w:jc w:val="both"/>
        <w:rPr>
          <w:rFonts w:ascii="Times New Roman" w:hAnsi="Times New Roman"/>
        </w:rPr>
      </w:pPr>
      <w:r>
        <w:rPr/>
        <w:t>“</w:t>
      </w:r>
      <w:r>
        <w:rPr>
          <w:u w:val="single"/>
        </w:rPr>
        <w:t>Voting Rights</w:t>
      </w:r>
      <w:r>
        <w:rPr/>
        <w:t>”: Each Certificate shall have the right to one vote for each $1,000 of the Certificate Principal Balance thereof.</w:t>
      </w:r>
    </w:p>
    <w:p>
      <w:pPr>
        <w:pStyle w:val="Heading2"/>
        <w:keepNext w:val="true"/>
        <w:widowControl/>
        <w:numPr>
          <w:ilvl w:val="0"/>
          <w:numId w:val="0"/>
        </w:numPr>
        <w:bidi w:val="0"/>
        <w:ind w:firstLine="720"/>
        <w:jc w:val="both"/>
        <w:outlineLvl w:val="1"/>
        <w:rPr>
          <w:rFonts w:ascii="Times New Roman" w:hAnsi="Times New Roman"/>
          <w:vanish/>
        </w:rPr>
      </w:pPr>
      <w:r>
        <w:rPr>
          <w:caps/>
          <w:u w:val="none"/>
        </w:rPr>
        <w:t>Section 1.2  </w:t>
        <w:tab/>
      </w:r>
      <w:bookmarkStart w:id="2" w:name="_Toc484274568"/>
      <w:r>
        <w:rPr/>
        <w:t>Rules of Construction</w:t>
      </w:r>
      <w:bookmarkEnd w:id="2"/>
    </w:p>
    <w:p>
      <w:pPr>
        <w:pStyle w:val="BodyText"/>
        <w:widowControl/>
        <w:bidi w:val="0"/>
        <w:ind w:firstLine="720"/>
        <w:jc w:val="both"/>
        <w:rPr>
          <w:rFonts w:ascii="Times New Roman" w:hAnsi="Times New Roman"/>
        </w:rPr>
      </w:pPr>
      <w:r>
        <w:rPr/>
        <w:t xml:space="preserve"> </w:t>
      </w:r>
      <w:r>
        <w:rPr/>
        <w:t>Unless the context otherwise requires: (a) a term has the meaning assigned to it; (b) an accounting term not otherwise defined has the meaning assigned to it in accordance with generally accepted accounting principles as in effect in the United States from time to time; (c) “or” is not exclusive; (d) the words “herein,” “hereof” and “hereunder” and other words of similar import refer to this Agreement as a whole and not to any particular Article, Section or other subdivision, and the words “Article,” “Section” and “Exhibit” shall refer to Articles and Sections of, and Exhibits to, this Agreement unless otherwise specified; (e) “including” means including without limitation; and (f) words in the singular include the plural and words in the plural include the singular.</w:t>
      </w:r>
    </w:p>
    <w:p>
      <w:pPr>
        <w:pStyle w:val="Heading1"/>
        <w:widowControl/>
        <w:numPr>
          <w:ilvl w:val="0"/>
          <w:numId w:val="0"/>
        </w:numPr>
        <w:bidi w:val="0"/>
        <w:outlineLvl w:val="0"/>
        <w:rPr>
          <w:rFonts w:ascii="Times New Roman" w:hAnsi="Times New Roman"/>
        </w:rPr>
      </w:pPr>
      <w:r>
        <w:rPr>
          <w:caps/>
          <w:u w:val="none"/>
        </w:rPr>
        <w:t xml:space="preserve">Article II </w:t>
      </w:r>
      <w:r>
        <w:rPr/>
        <w:br/>
        <w:br/>
      </w:r>
      <w:bookmarkStart w:id="3" w:name="_Toc484274569"/>
      <w:r>
        <w:rPr/>
        <w:t>Declaration of Trust; Issuance of Certificates</w:t>
      </w:r>
      <w:bookmarkEnd w:id="3"/>
    </w:p>
    <w:p>
      <w:pPr>
        <w:pStyle w:val="Heading2"/>
        <w:widowControl/>
        <w:numPr>
          <w:ilvl w:val="0"/>
          <w:numId w:val="0"/>
        </w:numPr>
        <w:bidi w:val="0"/>
        <w:ind w:firstLine="720"/>
        <w:jc w:val="start"/>
        <w:outlineLvl w:val="1"/>
        <w:rPr>
          <w:rFonts w:ascii="Times New Roman" w:hAnsi="Times New Roman"/>
          <w:u w:val="none"/>
        </w:rPr>
      </w:pPr>
      <w:r>
        <w:rPr>
          <w:caps/>
          <w:u w:val="none"/>
        </w:rPr>
        <w:t>Section 2.1  </w:t>
        <w:tab/>
      </w:r>
      <w:bookmarkStart w:id="4" w:name="_Toc484274570"/>
      <w:r>
        <w:rPr/>
        <w:t>Creation and Declaration of Trust; Purchase of Notes</w:t>
      </w:r>
      <w:r>
        <w:rPr>
          <w:u w:val="none"/>
        </w:rPr>
        <w:t>.</w:t>
      </w:r>
      <w:bookmarkEnd w:id="4"/>
    </w:p>
    <w:p>
      <w:pPr>
        <w:pStyle w:val="Heading3"/>
        <w:widowControl/>
        <w:numPr>
          <w:ilvl w:val="0"/>
          <w:numId w:val="0"/>
        </w:numPr>
        <w:bidi w:val="0"/>
        <w:ind w:firstLine="720"/>
        <w:jc w:val="both"/>
        <w:outlineLvl w:val="2"/>
        <w:rPr>
          <w:rFonts w:ascii="Times New Roman" w:hAnsi="Times New Roman"/>
        </w:rPr>
      </w:pPr>
      <w:r>
        <w:rPr/>
        <w:t>(a)  </w:t>
        <w:tab/>
        <w:t>Pursuant to the terms of this Agreement, a business trust to be known as “Enron Pass-Through Asset Trust 2000-1” is hereby created.</w:t>
      </w:r>
    </w:p>
    <w:p>
      <w:pPr>
        <w:pStyle w:val="Heading3"/>
        <w:widowControl/>
        <w:numPr>
          <w:ilvl w:val="0"/>
          <w:numId w:val="0"/>
        </w:numPr>
        <w:bidi w:val="0"/>
        <w:ind w:firstLine="720"/>
        <w:jc w:val="both"/>
        <w:outlineLvl w:val="2"/>
        <w:rPr>
          <w:rFonts w:ascii="Times New Roman" w:hAnsi="Times New Roman"/>
        </w:rPr>
      </w:pPr>
      <w:r>
        <w:rPr/>
        <w:t>(b)  </w:t>
        <w:tab/>
        <w:t xml:space="preserve">Concurrently with the execution and delivery hereof, the </w:t>
      </w:r>
      <w:r>
        <w:rPr>
          <w:strike/>
        </w:rPr>
        <w:t>Trustee</w:t>
      </w:r>
      <w:r>
        <w:rPr/>
        <w:t xml:space="preserve"> </w:t>
      </w:r>
      <w:r>
        <w:rPr>
          <w:u w:val="double"/>
        </w:rPr>
        <w:t>Trust</w:t>
      </w:r>
      <w:r>
        <w:rPr/>
        <w:t xml:space="preserve"> shall enter into the Purchase Agreement. Pursuant to the Purchase Agreement, on the Closing Date, the </w:t>
      </w:r>
      <w:r>
        <w:rPr>
          <w:strike/>
        </w:rPr>
        <w:t>Trustee</w:t>
      </w:r>
      <w:r>
        <w:rPr/>
        <w:t xml:space="preserve"> </w:t>
      </w:r>
      <w:r>
        <w:rPr>
          <w:u w:val="double"/>
        </w:rPr>
        <w:t>Trust</w:t>
      </w:r>
      <w:r>
        <w:rPr/>
        <w:t xml:space="preserve"> shall (i) issue the Certificates, each Certificate representing an undivided beneficial interest in the Trust Assets, to or as requested by the Initial Purchaser, (ii) purchase the Notes from the Company, on behalf of and for the benefit of the Certificateholders in consideration for the net proceeds received by the Trust from the issue of the Certificates and the Call Option, (iii) grant the Call Option to the Callholder, on behalf of and for the benefit of the Certificateholders, and (iv) enter into the Currency Swap on behalf of and for the benefit of the Certificateholders. The Trust Assets shall be held by the Trustee for the benefit of the Certificateholders.</w:t>
      </w:r>
    </w:p>
    <w:p>
      <w:pPr>
        <w:pStyle w:val="Heading3"/>
        <w:widowControl/>
        <w:numPr>
          <w:ilvl w:val="0"/>
          <w:numId w:val="0"/>
        </w:numPr>
        <w:bidi w:val="0"/>
        <w:ind w:firstLine="720"/>
        <w:jc w:val="both"/>
        <w:outlineLvl w:val="2"/>
        <w:rPr>
          <w:rFonts w:ascii="Times New Roman" w:hAnsi="Times New Roman"/>
        </w:rPr>
      </w:pPr>
      <w:r>
        <w:rPr/>
        <w:t>(c)  </w:t>
        <w:tab/>
        <w:t xml:space="preserve">In connection with the establishment of the Trust, and for the consideration stated in the Purchase Agreement, which the Trustee shall cause to be remitted to the Company on the Closing Date, the Company shall, not later than the Closing Date, issue the Notes, duly executed, to the </w:t>
      </w:r>
      <w:r>
        <w:rPr>
          <w:strike/>
        </w:rPr>
        <w:t>Trustee</w:t>
      </w:r>
      <w:r>
        <w:rPr/>
        <w:t xml:space="preserve"> </w:t>
      </w:r>
      <w:r>
        <w:rPr>
          <w:u w:val="double"/>
        </w:rPr>
        <w:t>Trust</w:t>
      </w:r>
      <w:r>
        <w:rPr/>
        <w:t xml:space="preserve"> or its nominee by physical delivery. </w:t>
      </w:r>
    </w:p>
    <w:p>
      <w:pPr>
        <w:pStyle w:val="Heading3"/>
        <w:widowControl/>
        <w:numPr>
          <w:ilvl w:val="0"/>
          <w:numId w:val="0"/>
        </w:numPr>
        <w:bidi w:val="0"/>
        <w:ind w:firstLine="720"/>
        <w:jc w:val="both"/>
        <w:outlineLvl w:val="2"/>
        <w:rPr>
          <w:rFonts w:ascii="Times New Roman" w:hAnsi="Times New Roman"/>
        </w:rPr>
      </w:pPr>
      <w:r>
        <w:rPr/>
        <w:t>(d)  </w:t>
        <w:tab/>
        <w:t xml:space="preserve">The Trustee hereby (i) accepts the trusts created hereunder in accordance with the provisions of this Agreement </w:t>
      </w:r>
      <w:r>
        <w:rPr>
          <w:strike/>
        </w:rPr>
        <w:t>but</w:t>
      </w:r>
      <w:r>
        <w:rPr>
          <w:u w:val="double"/>
        </w:rPr>
        <w:t>,</w:t>
      </w:r>
      <w:r>
        <w:rPr/>
        <w:t xml:space="preserve"> subject to the Trustee’s obligation, as and when the same may arise, to make any payment or other distributions of Trust Assets as may be required pursuant to this Agreement and the Certificates and (ii) agrees to perform the duties herein required and that any failure to receive reimbursement of Eligible Expenses under Section 9.5 shall not release the Trustee from its duties herein or therein.</w:t>
      </w:r>
    </w:p>
    <w:p>
      <w:pPr>
        <w:pStyle w:val="Heading2"/>
        <w:widowControl/>
        <w:numPr>
          <w:ilvl w:val="0"/>
          <w:numId w:val="0"/>
        </w:numPr>
        <w:bidi w:val="0"/>
        <w:ind w:firstLine="720"/>
        <w:jc w:val="both"/>
        <w:outlineLvl w:val="1"/>
        <w:rPr>
          <w:rFonts w:ascii="Times New Roman" w:hAnsi="Times New Roman"/>
          <w:vanish/>
        </w:rPr>
      </w:pPr>
      <w:r>
        <w:rPr>
          <w:caps/>
          <w:u w:val="none"/>
        </w:rPr>
        <w:t>Section 2.2  </w:t>
        <w:tab/>
      </w:r>
      <w:bookmarkStart w:id="5" w:name="_Toc484274571"/>
      <w:r>
        <w:rPr/>
        <w:t>Representations and Warranties</w:t>
      </w:r>
      <w:r>
        <w:rPr>
          <w:u w:val="none"/>
        </w:rPr>
        <w:t>.</w:t>
      </w:r>
      <w:bookmarkEnd w:id="5"/>
    </w:p>
    <w:p>
      <w:pPr>
        <w:pStyle w:val="BodyText"/>
        <w:widowControl/>
        <w:bidi w:val="0"/>
        <w:ind w:firstLine="720"/>
        <w:jc w:val="both"/>
        <w:rPr>
          <w:rFonts w:ascii="Times New Roman" w:hAnsi="Times New Roman"/>
        </w:rPr>
      </w:pPr>
      <w:r>
        <w:rPr/>
        <w:t xml:space="preserve"> </w:t>
      </w:r>
      <w:r>
        <w:rPr/>
        <w:t>(a) The Company hereby represents and warrants to the Trustee that as of the Closing Date:</w:t>
      </w:r>
    </w:p>
    <w:p>
      <w:pPr>
        <w:pStyle w:val="Heading4"/>
        <w:widowControl/>
        <w:numPr>
          <w:ilvl w:val="0"/>
          <w:numId w:val="0"/>
        </w:numPr>
        <w:bidi w:val="0"/>
        <w:ind w:firstLine="720" w:start="720"/>
        <w:jc w:val="both"/>
        <w:outlineLvl w:val="3"/>
        <w:rPr>
          <w:rFonts w:ascii="Times New Roman" w:hAnsi="Times New Roman"/>
        </w:rPr>
      </w:pPr>
      <w:r>
        <w:rPr/>
        <w:t>(i)</w:t>
        <w:tab/>
        <w:t xml:space="preserve">The Company has been duly incorporated, </w:t>
      </w:r>
      <w:r>
        <w:rPr>
          <w:u w:val="double"/>
        </w:rPr>
        <w:t>and</w:t>
      </w:r>
      <w:r>
        <w:rPr/>
        <w:t xml:space="preserve"> is validly existing in good standing</w:t>
      </w:r>
      <w:r>
        <w:rPr>
          <w:u w:val="double"/>
        </w:rPr>
        <w:t>,</w:t>
      </w:r>
      <w:r>
        <w:rPr/>
        <w:t xml:space="preserve"> under the laws of Oregon;</w:t>
      </w:r>
    </w:p>
    <w:p>
      <w:pPr>
        <w:pStyle w:val="Heading4"/>
        <w:widowControl/>
        <w:numPr>
          <w:ilvl w:val="0"/>
          <w:numId w:val="0"/>
        </w:numPr>
        <w:bidi w:val="0"/>
        <w:ind w:firstLine="720" w:start="720"/>
        <w:jc w:val="both"/>
        <w:outlineLvl w:val="3"/>
        <w:rPr>
          <w:rFonts w:ascii="Times New Roman" w:hAnsi="Times New Roman"/>
        </w:rPr>
      </w:pPr>
      <w:r>
        <w:rPr/>
        <w:t>(ii)</w:t>
        <w:tab/>
        <w:t>This Agreement has been duly authorized, executed and delivered by the Company, and, assuming due authorization, execution and delivery of this Agreement by the other parties hereto, this Agreement will constitute a valid and binding obligation of the Company, enforceable against it in accordance with its terms except as may be limited by bankruptcy, insolvency, or other similar laws affecting the enforcement of creditors’ rights in general and except as the availability of the remedy of specific performance is subject to general principles of equity (regardless of whether such remedy is sought in a proceeding in equity or at law) and to an implied covenant of good faith and fair dealing; and</w:t>
      </w:r>
    </w:p>
    <w:p>
      <w:pPr>
        <w:pStyle w:val="Heading4"/>
        <w:widowControl/>
        <w:numPr>
          <w:ilvl w:val="0"/>
          <w:numId w:val="0"/>
        </w:numPr>
        <w:bidi w:val="0"/>
        <w:ind w:firstLine="720" w:start="720"/>
        <w:jc w:val="both"/>
        <w:outlineLvl w:val="3"/>
        <w:rPr>
          <w:rFonts w:ascii="Times New Roman" w:hAnsi="Times New Roman"/>
        </w:rPr>
      </w:pPr>
      <w:r>
        <w:rPr/>
        <w:t>(iii)</w:t>
        <w:tab/>
        <w:t xml:space="preserve">The execution, delivery and performance by the Company of this Agreement </w:t>
      </w:r>
      <w:r>
        <w:rPr>
          <w:strike/>
        </w:rPr>
        <w:t>and</w:t>
      </w:r>
      <w:r>
        <w:rPr>
          <w:u w:val="double"/>
        </w:rPr>
        <w:t>,</w:t>
      </w:r>
      <w:r>
        <w:rPr/>
        <w:t xml:space="preserve"> the consummation by the Company of the transactions contemplated herein and compliance by the Company with its respective obligations hereunder </w:t>
      </w:r>
      <w:r>
        <w:rPr>
          <w:strike/>
        </w:rPr>
        <w:t>shall</w:t>
      </w:r>
      <w:r>
        <w:rPr/>
        <w:t xml:space="preserve"> have been duly authorized by all necessary action (corporate or otherwise) on the part of the Company </w:t>
      </w:r>
      <w:r>
        <w:rPr>
          <w:strike/>
        </w:rPr>
        <w:t>and</w:t>
      </w:r>
      <w:r>
        <w:rPr>
          <w:u w:val="double"/>
        </w:rPr>
        <w:t>,</w:t>
      </w:r>
      <w:r>
        <w:rPr/>
        <w:t xml:space="preserve"> do not and will not result in any violation of the charter or bylaws of the Company and do not and will not conflict with, or result in a breach of any of the terms or provisions of, or constitute a default under, or result in the creation or imposition of any lien, charge or encumbrance upon any property or assets of the Company under (A) any contract, indenture, mortgage, loan agreement, note, lease or other agreement or instrument to which the Company is a party or by which it may be bound or to which any of its properties may be subject (except for conflicts, breaches or defaults that would not, individually or in the aggregate, be materially adverse to the Company or materially adverse to the transactions contemplated by this Agreement), or (B) any existing applicable law, rule, regulation, judgment, order or decree of any government, governmental instrumentality or court, domestic or foreign, or any regulatory body or administrative agency or other governmental body having jurisdiction over the Company or any of its properties (except for conflicts that would not, individually or in the aggregate, be materially adverse to the Company or materially adverse to the transactions contemplated by this Agreement).</w:t>
      </w:r>
    </w:p>
    <w:p>
      <w:pPr>
        <w:pStyle w:val="Heading3"/>
        <w:widowControl/>
        <w:numPr>
          <w:ilvl w:val="0"/>
          <w:numId w:val="0"/>
        </w:numPr>
        <w:bidi w:val="0"/>
        <w:ind w:firstLine="720"/>
        <w:jc w:val="both"/>
        <w:outlineLvl w:val="2"/>
        <w:rPr>
          <w:rFonts w:ascii="Times New Roman" w:hAnsi="Times New Roman"/>
        </w:rPr>
      </w:pPr>
      <w:r>
        <w:rPr/>
        <w:t>(b)  </w:t>
        <w:tab/>
        <w:t xml:space="preserve">It is understood and agreed that the representations and warranties set forth in this Section 2.2 shall survive delivery of the respective documents to the Trustee and shall inure to the benefit of the Trustee on behalf of the Certificateholders. Upon discovery by either the Company or the Trustee of a breach of any of the foregoing representations and warranties that materially and adversely affects the interests of the Certificateholders, the party discovering such breach shall give prompt written notice thereof to the other </w:t>
      </w:r>
      <w:r>
        <w:rPr>
          <w:strike/>
        </w:rPr>
        <w:t>parties</w:t>
      </w:r>
      <w:r>
        <w:rPr/>
        <w:t xml:space="preserve"> </w:t>
      </w:r>
      <w:r>
        <w:rPr>
          <w:u w:val="double"/>
        </w:rPr>
        <w:t>party</w:t>
      </w:r>
      <w:r>
        <w:rPr/>
        <w:t>.</w:t>
      </w:r>
    </w:p>
    <w:p>
      <w:pPr>
        <w:pStyle w:val="Heading2"/>
        <w:widowControl/>
        <w:numPr>
          <w:ilvl w:val="0"/>
          <w:numId w:val="0"/>
        </w:numPr>
        <w:bidi w:val="0"/>
        <w:ind w:firstLine="720"/>
        <w:jc w:val="both"/>
        <w:outlineLvl w:val="1"/>
        <w:rPr>
          <w:rFonts w:ascii="Times New Roman" w:hAnsi="Times New Roman"/>
          <w:vanish/>
        </w:rPr>
      </w:pPr>
      <w:r>
        <w:rPr>
          <w:caps/>
          <w:u w:val="none"/>
        </w:rPr>
        <w:t>Section 2.3  </w:t>
        <w:tab/>
      </w:r>
      <w:bookmarkStart w:id="6" w:name="_Toc484274572"/>
      <w:r>
        <w:rPr/>
        <w:t>Breach of Representation, Warranty or Covenant</w:t>
      </w:r>
      <w:r>
        <w:rPr>
          <w:u w:val="none"/>
        </w:rPr>
        <w:t>.</w:t>
      </w:r>
      <w:bookmarkEnd w:id="6"/>
    </w:p>
    <w:p>
      <w:pPr>
        <w:pStyle w:val="BodyText"/>
        <w:widowControl/>
        <w:bidi w:val="0"/>
        <w:jc w:val="both"/>
        <w:rPr>
          <w:rFonts w:ascii="Times New Roman" w:hAnsi="Times New Roman"/>
        </w:rPr>
      </w:pPr>
      <w:r>
        <w:rPr/>
        <w:t xml:space="preserve"> </w:t>
      </w:r>
      <w:r>
        <w:rPr/>
        <w:t xml:space="preserve">Within 60 days of the earlier of discovery by the Company or receipt of notice by the Company of a breach of any of </w:t>
      </w:r>
      <w:r>
        <w:rPr>
          <w:strike/>
        </w:rPr>
        <w:t>their respective</w:t>
      </w:r>
      <w:r>
        <w:rPr/>
        <w:t xml:space="preserve"> </w:t>
      </w:r>
      <w:r>
        <w:rPr>
          <w:u w:val="double"/>
        </w:rPr>
        <w:t>its</w:t>
      </w:r>
      <w:r>
        <w:rPr/>
        <w:t xml:space="preserve"> representations or warranties set forth in Section 2.2 that materially and adversely affects the interests of the Certificateholders, </w:t>
      </w:r>
      <w:r>
        <w:rPr>
          <w:strike/>
        </w:rPr>
        <w:t>such breaching party</w:t>
      </w:r>
      <w:r>
        <w:rPr/>
        <w:t xml:space="preserve"> </w:t>
      </w:r>
      <w:r>
        <w:rPr>
          <w:u w:val="double"/>
        </w:rPr>
        <w:t>the Company</w:t>
      </w:r>
      <w:r>
        <w:rPr/>
        <w:t xml:space="preserve"> shall cure such breach in all material respects.</w:t>
      </w:r>
    </w:p>
    <w:p>
      <w:pPr>
        <w:pStyle w:val="Heading2"/>
        <w:widowControl/>
        <w:numPr>
          <w:ilvl w:val="0"/>
          <w:numId w:val="0"/>
        </w:numPr>
        <w:bidi w:val="0"/>
        <w:ind w:firstLine="720"/>
        <w:jc w:val="both"/>
        <w:outlineLvl w:val="1"/>
        <w:rPr>
          <w:rFonts w:ascii="Times New Roman" w:hAnsi="Times New Roman"/>
          <w:vanish/>
        </w:rPr>
      </w:pPr>
      <w:r>
        <w:rPr>
          <w:caps/>
          <w:u w:val="none"/>
        </w:rPr>
        <w:t>Section 2.4  </w:t>
        <w:tab/>
      </w:r>
      <w:bookmarkStart w:id="7" w:name="_Toc484274573"/>
      <w:r>
        <w:rPr/>
        <w:t>Agreement to Authenticate and Deliver Certificates</w:t>
      </w:r>
      <w:r>
        <w:rPr>
          <w:u w:val="none"/>
        </w:rPr>
        <w:t>.</w:t>
      </w:r>
      <w:bookmarkEnd w:id="7"/>
    </w:p>
    <w:p>
      <w:pPr>
        <w:pStyle w:val="BodyText"/>
        <w:widowControl/>
        <w:bidi w:val="0"/>
        <w:jc w:val="both"/>
        <w:rPr>
          <w:rFonts w:ascii="Times New Roman" w:hAnsi="Times New Roman"/>
        </w:rPr>
      </w:pPr>
      <w:r>
        <w:rPr/>
        <w:t xml:space="preserve"> </w:t>
      </w:r>
      <w:r>
        <w:rPr/>
        <w:t xml:space="preserve">Concurrently with the purchase by </w:t>
      </w:r>
      <w:r>
        <w:rPr>
          <w:strike/>
        </w:rPr>
        <w:t>it</w:t>
      </w:r>
      <w:r>
        <w:rPr/>
        <w:t xml:space="preserve"> </w:t>
      </w:r>
      <w:r>
        <w:rPr>
          <w:u w:val="double"/>
        </w:rPr>
        <w:t>the Trust</w:t>
      </w:r>
      <w:r>
        <w:rPr/>
        <w:t xml:space="preserve"> of the Notes, the entering into of the Currency Swap and the granting of the Call Option, the Trustee hereby agrees and acknowledges that it will cause to be authenticated and delivered to or upon the order of the Initial Purchaser, in exchange for the consideration set forth in the Purchase Agreement, Certificates duly authenticated by or on behalf of the </w:t>
      </w:r>
      <w:r>
        <w:rPr>
          <w:strike/>
        </w:rPr>
        <w:t>Trustee</w:t>
      </w:r>
      <w:r>
        <w:rPr/>
        <w:t xml:space="preserve"> </w:t>
      </w:r>
      <w:r>
        <w:rPr>
          <w:u w:val="double"/>
        </w:rPr>
        <w:t>Trust</w:t>
      </w:r>
      <w:r>
        <w:rPr/>
        <w:t xml:space="preserve"> in authorized denominations evidencing ownership of the entire Trust, all in accordance with the terms and subject to the conditions of Sections 6.2 and 6.10.</w:t>
      </w:r>
    </w:p>
    <w:p>
      <w:pPr>
        <w:pStyle w:val="Heading1"/>
        <w:widowControl/>
        <w:numPr>
          <w:ilvl w:val="0"/>
          <w:numId w:val="0"/>
        </w:numPr>
        <w:bidi w:val="0"/>
        <w:outlineLvl w:val="0"/>
        <w:rPr>
          <w:rFonts w:ascii="Times New Roman" w:hAnsi="Times New Roman"/>
        </w:rPr>
      </w:pPr>
      <w:r>
        <w:rPr>
          <w:caps/>
          <w:u w:val="none"/>
        </w:rPr>
        <w:t xml:space="preserve">Article III </w:t>
      </w:r>
      <w:r>
        <w:rPr/>
        <w:br/>
        <w:br/>
      </w:r>
      <w:bookmarkStart w:id="8" w:name="_Toc484274574"/>
      <w:r>
        <w:rPr/>
        <w:t>Administration of Trust</w:t>
      </w:r>
      <w:bookmarkEnd w:id="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3.1  </w:t>
        <w:tab/>
      </w:r>
      <w:bookmarkStart w:id="9" w:name="_Toc484274575"/>
      <w:r>
        <w:rPr/>
        <w:t>Administration of Trust</w:t>
      </w:r>
      <w:r>
        <w:rPr>
          <w:u w:val="none"/>
        </w:rPr>
        <w:t>.</w:t>
      </w:r>
      <w:bookmarkEnd w:id="9"/>
    </w:p>
    <w:p>
      <w:pPr>
        <w:pStyle w:val="Heading3"/>
        <w:widowControl/>
        <w:numPr>
          <w:ilvl w:val="0"/>
          <w:numId w:val="0"/>
        </w:numPr>
        <w:bidi w:val="0"/>
        <w:ind w:firstLine="720"/>
        <w:jc w:val="both"/>
        <w:outlineLvl w:val="2"/>
        <w:rPr>
          <w:rFonts w:ascii="Times New Roman" w:hAnsi="Times New Roman"/>
        </w:rPr>
      </w:pPr>
      <w:r>
        <w:rPr/>
        <w:t>(a)  </w:t>
        <w:tab/>
        <w:t>The Trustee shall administer the Trust Assets for the benefit of the Certificateholders. Subject to Article IX and the terms of the Certificates, the Call Option and the Currency Swap, the Trustee shall have full power and authority to do or cause to be done any and all things in connection with such administration that it deems necessary to comply with the terms of this Agreement.</w:t>
      </w:r>
    </w:p>
    <w:p>
      <w:pPr>
        <w:pStyle w:val="Heading3"/>
        <w:widowControl/>
        <w:numPr>
          <w:ilvl w:val="0"/>
          <w:numId w:val="0"/>
        </w:numPr>
        <w:bidi w:val="0"/>
        <w:ind w:firstLine="720"/>
        <w:jc w:val="both"/>
        <w:outlineLvl w:val="2"/>
        <w:rPr>
          <w:rFonts w:ascii="Times New Roman" w:hAnsi="Times New Roman"/>
        </w:rPr>
      </w:pPr>
      <w:r>
        <w:rPr/>
        <w:t>(b)  </w:t>
        <w:tab/>
        <w:t>The duties of the Trustee shall be performed in accordance with applicable local, State and US federal law.</w:t>
      </w:r>
    </w:p>
    <w:p>
      <w:pPr>
        <w:pStyle w:val="Heading2"/>
        <w:widowControl/>
        <w:numPr>
          <w:ilvl w:val="0"/>
          <w:numId w:val="0"/>
        </w:numPr>
        <w:bidi w:val="0"/>
        <w:ind w:firstLine="720"/>
        <w:jc w:val="both"/>
        <w:outlineLvl w:val="1"/>
        <w:rPr>
          <w:rFonts w:ascii="Times New Roman" w:hAnsi="Times New Roman"/>
          <w:vanish/>
        </w:rPr>
      </w:pPr>
      <w:r>
        <w:rPr>
          <w:caps/>
          <w:u w:val="none"/>
        </w:rPr>
        <w:t>Section 3.2  </w:t>
        <w:tab/>
      </w:r>
      <w:bookmarkStart w:id="10" w:name="_Toc484274576"/>
      <w:r>
        <w:rPr/>
        <w:t>Receipt of Trust Asset Payments</w:t>
      </w:r>
      <w:r>
        <w:rPr>
          <w:u w:val="none"/>
        </w:rPr>
        <w:t>.</w:t>
      </w:r>
      <w:bookmarkEnd w:id="10"/>
    </w:p>
    <w:p>
      <w:pPr>
        <w:pStyle w:val="BodyText"/>
        <w:widowControl/>
        <w:bidi w:val="0"/>
        <w:jc w:val="both"/>
        <w:rPr>
          <w:rFonts w:ascii="Times New Roman" w:hAnsi="Times New Roman"/>
        </w:rPr>
      </w:pPr>
      <w:r>
        <w:rPr/>
        <w:t xml:space="preserve"> </w:t>
      </w:r>
      <w:r>
        <w:rPr/>
        <w:t>The Trustee</w:t>
      </w:r>
      <w:r>
        <w:rPr>
          <w:u w:val="double"/>
        </w:rPr>
        <w:t>, on behalf of the Trust,</w:t>
      </w:r>
      <w:r>
        <w:rPr/>
        <w:t xml:space="preserve"> shall receive and accept, for the benefit of Certificateholders, all payments made under </w:t>
      </w:r>
      <w:r>
        <w:rPr>
          <w:u w:val="double"/>
        </w:rPr>
        <w:t>or in respect of</w:t>
      </w:r>
      <w:r>
        <w:rPr/>
        <w:t xml:space="preserve"> the Trust Assets in a manner consistent with the terms of this Agreement and such Trust Assets.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3.3  </w:t>
        <w:tab/>
      </w:r>
      <w:bookmarkStart w:id="11" w:name="_Toc484274577"/>
      <w:r>
        <w:rPr/>
        <w:t>Certificate Account</w:t>
      </w:r>
      <w:r>
        <w:rPr>
          <w:u w:val="none"/>
        </w:rPr>
        <w:t>.</w:t>
      </w:r>
      <w:bookmarkEnd w:id="11"/>
    </w:p>
    <w:p>
      <w:pPr>
        <w:pStyle w:val="Heading3"/>
        <w:widowControl/>
        <w:numPr>
          <w:ilvl w:val="0"/>
          <w:numId w:val="0"/>
        </w:numPr>
        <w:bidi w:val="0"/>
        <w:ind w:firstLine="720"/>
        <w:jc w:val="both"/>
        <w:outlineLvl w:val="2"/>
        <w:rPr>
          <w:rFonts w:ascii="Times New Roman" w:hAnsi="Times New Roman"/>
        </w:rPr>
      </w:pPr>
      <w:r>
        <w:rPr/>
        <w:t>(a)  </w:t>
        <w:tab/>
        <w:t>The Trustee shall establish and maintain an Eligible Account held in trust for the benefit of the Certificateholders (the “Certificate Account”). The Trustee on behalf of such Certificateholders shall possess all right, title and interest in all funds on deposit from time to time in the Certificate Account and in all proceeds thereof. The Certificate Account shall be under the sole dominion and control of the Trustee for the benefit of the Certificateholders. The Trustee shall deposit or cause to be deposited in the Certificate Account promptly (and in no event later than 11:00 a.m. (New York City time) on the day of receipt of such amounts) all amounts collected with respect to the Trust Assets, including:</w:t>
      </w:r>
    </w:p>
    <w:p>
      <w:pPr>
        <w:pStyle w:val="Heading4"/>
        <w:widowControl/>
        <w:numPr>
          <w:ilvl w:val="0"/>
          <w:numId w:val="0"/>
        </w:numPr>
        <w:bidi w:val="0"/>
        <w:ind w:firstLine="720" w:start="720"/>
        <w:jc w:val="both"/>
        <w:outlineLvl w:val="3"/>
        <w:rPr>
          <w:rFonts w:ascii="Times New Roman" w:hAnsi="Times New Roman"/>
        </w:rPr>
      </w:pPr>
      <w:r>
        <w:rPr/>
        <w:t>(i)</w:t>
        <w:tab/>
        <w:t xml:space="preserve">for so long as the Notes are denominated in Pounds Sterling and no Swap Termination Event has occurred, any Dollar Swap Payment or other US Dollar amount paid by the Swap Counterparty to the </w:t>
      </w:r>
      <w:r>
        <w:rPr>
          <w:strike/>
        </w:rPr>
        <w:t>Trustee</w:t>
      </w:r>
      <w:r>
        <w:rPr/>
        <w:t xml:space="preserve"> </w:t>
      </w:r>
      <w:r>
        <w:rPr>
          <w:u w:val="double"/>
        </w:rPr>
        <w:t>Trust</w:t>
      </w:r>
      <w:r>
        <w:rPr/>
        <w:t xml:space="preserve"> under the Currency Swap;</w:t>
      </w:r>
    </w:p>
    <w:p>
      <w:pPr>
        <w:pStyle w:val="Heading4"/>
        <w:widowControl/>
        <w:numPr>
          <w:ilvl w:val="0"/>
          <w:numId w:val="0"/>
        </w:numPr>
        <w:bidi w:val="0"/>
        <w:ind w:firstLine="720" w:start="720"/>
        <w:jc w:val="both"/>
        <w:outlineLvl w:val="3"/>
        <w:rPr>
          <w:rFonts w:ascii="Times New Roman" w:hAnsi="Times New Roman"/>
        </w:rPr>
      </w:pPr>
      <w:r>
        <w:rPr/>
        <w:t>(ii)</w:t>
        <w:tab/>
        <w:t xml:space="preserve">if a Swap Termination Event (other than as a result of a Conversion Event) has occurred, the semi-annual </w:t>
      </w:r>
      <w:r>
        <w:rPr>
          <w:u w:val="double"/>
        </w:rPr>
        <w:t>Pound Sterling</w:t>
      </w:r>
      <w:r>
        <w:rPr/>
        <w:t xml:space="preserve"> interest payments on the Notes and </w:t>
      </w:r>
      <w:r>
        <w:rPr>
          <w:u w:val="double"/>
        </w:rPr>
        <w:t>Pound Sterling</w:t>
      </w:r>
      <w:r>
        <w:rPr/>
        <w:t xml:space="preserve"> payments on or in respect of the principal of the Notes made by the Company thereunder and received by the </w:t>
      </w:r>
      <w:r>
        <w:rPr>
          <w:strike/>
        </w:rPr>
        <w:t>Trustee</w:t>
      </w:r>
      <w:r>
        <w:rPr/>
        <w:t xml:space="preserve"> </w:t>
      </w:r>
      <w:r>
        <w:rPr>
          <w:u w:val="double"/>
        </w:rPr>
        <w:t>Trust</w:t>
      </w:r>
      <w:r>
        <w:rPr/>
        <w:t xml:space="preserve"> in respect of the Notes or, if applicable, any Swap Termination Payment or Unpaid Amounts;</w:t>
      </w:r>
    </w:p>
    <w:p>
      <w:pPr>
        <w:pStyle w:val="Heading4"/>
        <w:widowControl/>
        <w:numPr>
          <w:ilvl w:val="0"/>
          <w:numId w:val="0"/>
        </w:numPr>
        <w:bidi w:val="0"/>
        <w:ind w:firstLine="720" w:start="720"/>
        <w:jc w:val="both"/>
        <w:outlineLvl w:val="3"/>
        <w:rPr>
          <w:rFonts w:ascii="Times New Roman" w:hAnsi="Times New Roman"/>
        </w:rPr>
      </w:pPr>
      <w:r>
        <w:rPr/>
        <w:t>(iii)</w:t>
        <w:tab/>
        <w:t xml:space="preserve">if a Conversion Event has occurred, the semi-annual </w:t>
      </w:r>
      <w:r>
        <w:rPr>
          <w:u w:val="double"/>
        </w:rPr>
        <w:t>US Dollar</w:t>
      </w:r>
      <w:r>
        <w:rPr/>
        <w:t xml:space="preserve"> interest payments on the Notes and </w:t>
      </w:r>
      <w:r>
        <w:rPr>
          <w:u w:val="double"/>
        </w:rPr>
        <w:t>US Dollar</w:t>
      </w:r>
      <w:r>
        <w:rPr/>
        <w:t xml:space="preserve"> payments of or in respect of the principal of the Notes made by the Company thereunder and received by the </w:t>
      </w:r>
      <w:r>
        <w:rPr>
          <w:strike/>
        </w:rPr>
        <w:t>Trustee</w:t>
      </w:r>
      <w:r>
        <w:rPr/>
        <w:t xml:space="preserve"> </w:t>
      </w:r>
      <w:r>
        <w:rPr>
          <w:u w:val="double"/>
        </w:rPr>
        <w:t>Trust</w:t>
      </w:r>
      <w:r>
        <w:rPr/>
        <w:t xml:space="preserve"> in respect of the Notes or, if applicable, any Unpaid Amounts;</w:t>
      </w:r>
    </w:p>
    <w:p>
      <w:pPr>
        <w:pStyle w:val="Heading4"/>
        <w:widowControl/>
        <w:numPr>
          <w:ilvl w:val="0"/>
          <w:numId w:val="0"/>
        </w:numPr>
        <w:bidi w:val="0"/>
        <w:ind w:firstLine="720" w:start="720"/>
        <w:jc w:val="both"/>
        <w:outlineLvl w:val="3"/>
        <w:rPr>
          <w:rFonts w:ascii="Times New Roman" w:hAnsi="Times New Roman"/>
        </w:rPr>
      </w:pPr>
      <w:r>
        <w:rPr/>
        <w:t>(iv)</w:t>
        <w:tab/>
        <w:t xml:space="preserve">all </w:t>
      </w:r>
      <w:r>
        <w:rPr>
          <w:strike/>
        </w:rPr>
        <w:t>Option</w:t>
      </w:r>
      <w:r>
        <w:rPr/>
        <w:t xml:space="preserve"> </w:t>
      </w:r>
      <w:r>
        <w:rPr>
          <w:u w:val="double"/>
        </w:rPr>
        <w:t>Exercise</w:t>
      </w:r>
      <w:r>
        <w:rPr/>
        <w:t xml:space="preserve"> Proceeds; and</w:t>
      </w:r>
    </w:p>
    <w:p>
      <w:pPr>
        <w:pStyle w:val="Heading4"/>
        <w:widowControl/>
        <w:numPr>
          <w:ilvl w:val="0"/>
          <w:numId w:val="0"/>
        </w:numPr>
        <w:bidi w:val="0"/>
        <w:ind w:firstLine="720" w:start="720"/>
        <w:jc w:val="both"/>
        <w:outlineLvl w:val="3"/>
        <w:rPr>
          <w:rFonts w:ascii="Times New Roman" w:hAnsi="Times New Roman"/>
        </w:rPr>
      </w:pPr>
      <w:r>
        <w:rPr/>
        <w:t>(v)</w:t>
        <w:tab/>
        <w:t>all Liquidation Proceeds.</w:t>
      </w:r>
    </w:p>
    <w:p>
      <w:pPr>
        <w:pStyle w:val="BodyText"/>
        <w:widowControl/>
        <w:bidi w:val="0"/>
        <w:jc w:val="both"/>
        <w:rPr>
          <w:rFonts w:ascii="Times New Roman" w:hAnsi="Times New Roman"/>
        </w:rPr>
      </w:pPr>
      <w:r>
        <w:rPr/>
        <w:t>The Trustee shall</w:t>
      </w:r>
      <w:r>
        <w:rPr>
          <w:u w:val="double"/>
        </w:rPr>
        <w:t>, on behalf of theTrust,</w:t>
      </w:r>
      <w:r>
        <w:rPr/>
        <w:t xml:space="preserve"> withdraw or cause to be withdrawn from the Certificate Account, on the date of payment therefor, all Sterling Swap Payments to be paid by the </w:t>
      </w:r>
      <w:r>
        <w:rPr>
          <w:strike/>
        </w:rPr>
        <w:t>Trustee</w:t>
      </w:r>
      <w:r>
        <w:rPr/>
        <w:t xml:space="preserve"> </w:t>
      </w:r>
      <w:r>
        <w:rPr>
          <w:u w:val="double"/>
        </w:rPr>
        <w:t>Trust</w:t>
      </w:r>
      <w:r>
        <w:rPr/>
        <w:t xml:space="preserve"> to the Swap Counterparty.</w:t>
      </w:r>
    </w:p>
    <w:p>
      <w:pPr>
        <w:pStyle w:val="BodyTextFirstIndent"/>
        <w:widowControl/>
        <w:bidi w:val="0"/>
        <w:ind w:firstLine="720"/>
        <w:jc w:val="both"/>
        <w:rPr>
          <w:rFonts w:ascii="Times New Roman" w:hAnsi="Times New Roman"/>
        </w:rPr>
      </w:pPr>
      <w:r>
        <w:rPr/>
        <w:t xml:space="preserve">The proceeds of the Call Price shall be invested in Permitted Investments that shall mature no later than the Final Distribution Date and may be so invested as directed by the Callholder. Any interest or investment income received on the Call Price from the Business Day prior to the Settlement Date to the Settlement Date deposited in the Certificate Account will not constitute property of the Trust and shall not be available to Certificateholders. The </w:t>
      </w:r>
      <w:r>
        <w:rPr>
          <w:strike/>
        </w:rPr>
        <w:t>Trustee</w:t>
      </w:r>
      <w:r>
        <w:rPr/>
        <w:t xml:space="preserve"> </w:t>
      </w:r>
      <w:r>
        <w:rPr>
          <w:u w:val="double"/>
        </w:rPr>
        <w:t>Trust</w:t>
      </w:r>
      <w:r>
        <w:rPr/>
        <w:t xml:space="preserve"> shall remit all such income to the Callholder on the Final Distribution Date.</w:t>
      </w:r>
    </w:p>
    <w:p>
      <w:pPr>
        <w:pStyle w:val="BodyTextFirstIndent"/>
        <w:widowControl/>
        <w:bidi w:val="0"/>
        <w:ind w:firstLine="720"/>
        <w:jc w:val="both"/>
        <w:rPr>
          <w:rFonts w:ascii="Times New Roman" w:hAnsi="Times New Roman"/>
        </w:rPr>
      </w:pPr>
      <w:r>
        <w:rPr/>
        <w:t>It is understood and agreed that payments in the nature of prepayment or redemption penalties, late payment charges or assumption fees that may be received by the Trustee shall be deposited by the Trustee in the Certificate Account and shall not be retained by the Trustee for its own account.</w:t>
      </w:r>
    </w:p>
    <w:p>
      <w:pPr>
        <w:pStyle w:val="BodyTextFirstIndent"/>
        <w:widowControl/>
        <w:bidi w:val="0"/>
        <w:ind w:firstLine="720"/>
        <w:jc w:val="both"/>
        <w:rPr>
          <w:rFonts w:ascii="Times New Roman" w:hAnsi="Times New Roman"/>
        </w:rPr>
      </w:pPr>
      <w:r>
        <w:rPr/>
        <w:t>If, at any time, the Certificate Account ceases to be an Eligible Account, the Trustee shall within ten Business Days (or such longer period, not to exceed 30 calendar days, as to which the Rating Agency Condition is met) establish a new Certificate Account meeting the conditions for an Eligible Account and transfer any cash and any investments (as described in the second preceding paragraph) on deposit in the Certificate Account to such new Certificate Account, and from the date such new Certificate Account is established, it shall be the Certificate Account.</w:t>
      </w:r>
    </w:p>
    <w:p>
      <w:pPr>
        <w:pStyle w:val="Heading3"/>
        <w:widowControl/>
        <w:numPr>
          <w:ilvl w:val="0"/>
          <w:numId w:val="0"/>
        </w:numPr>
        <w:bidi w:val="0"/>
        <w:ind w:firstLine="720"/>
        <w:jc w:val="both"/>
        <w:outlineLvl w:val="2"/>
        <w:rPr>
          <w:rFonts w:ascii="Times New Roman" w:hAnsi="Times New Roman"/>
        </w:rPr>
      </w:pPr>
      <w:r>
        <w:rPr/>
        <w:t>(b)  </w:t>
        <w:tab/>
        <w:t>The Trustee shall give notice to the Company and the Rating Agencies of any proposed change to the location of the Eligible Account constituting the Certificate Account and shall not effect such change unless the Rating Agency Condition is satisfied.</w:t>
      </w:r>
    </w:p>
    <w:p>
      <w:pPr>
        <w:pStyle w:val="Heading3"/>
        <w:widowControl/>
        <w:numPr>
          <w:ilvl w:val="0"/>
          <w:numId w:val="0"/>
        </w:numPr>
        <w:bidi w:val="0"/>
        <w:ind w:firstLine="720"/>
        <w:jc w:val="both"/>
        <w:outlineLvl w:val="2"/>
        <w:rPr>
          <w:rFonts w:ascii="Times New Roman" w:hAnsi="Times New Roman"/>
        </w:rPr>
      </w:pPr>
      <w:r>
        <w:rPr/>
        <w:t>(c)  </w:t>
        <w:tab/>
        <w:t xml:space="preserve">As provided in the Currency Swap, on each </w:t>
      </w:r>
      <w:r>
        <w:rPr>
          <w:strike/>
        </w:rPr>
        <w:t>_____</w:t>
      </w:r>
      <w:r>
        <w:rPr>
          <w:u w:val="double"/>
        </w:rPr>
        <w:t>June 15</w:t>
      </w:r>
      <w:r>
        <w:rPr>
          <w:u w:val="double"/>
          <w:vertAlign w:val="superscript"/>
        </w:rPr>
        <w:t>th</w:t>
      </w:r>
      <w:r>
        <w:rPr/>
        <w:t xml:space="preserve"> and </w:t>
      </w:r>
      <w:r>
        <w:rPr>
          <w:strike/>
        </w:rPr>
        <w:t>____</w:t>
      </w:r>
      <w:r>
        <w:rPr>
          <w:u w:val="double"/>
        </w:rPr>
        <w:t>December 15</w:t>
      </w:r>
      <w:r>
        <w:rPr>
          <w:u w:val="double"/>
          <w:vertAlign w:val="superscript"/>
        </w:rPr>
        <w:t>th</w:t>
      </w:r>
      <w:r>
        <w:rPr/>
        <w:t xml:space="preserve"> (or, the immediately succeeding Business Day, if such </w:t>
      </w:r>
      <w:r>
        <w:rPr>
          <w:strike/>
        </w:rPr>
        <w:t>_____ or _____</w:t>
      </w:r>
      <w:r>
        <w:rPr>
          <w:u w:val="double"/>
        </w:rPr>
        <w:t>June 15</w:t>
      </w:r>
      <w:r>
        <w:rPr>
          <w:u w:val="double"/>
          <w:vertAlign w:val="superscript"/>
        </w:rPr>
        <w:t>th</w:t>
      </w:r>
      <w:r>
        <w:rPr/>
        <w:t xml:space="preserve"> </w:t>
      </w:r>
      <w:r>
        <w:rPr>
          <w:u w:val="double"/>
        </w:rPr>
        <w:t>or December 15</w:t>
      </w:r>
      <w:r>
        <w:rPr>
          <w:u w:val="double"/>
          <w:vertAlign w:val="superscript"/>
        </w:rPr>
        <w:t>th</w:t>
      </w:r>
      <w:r>
        <w:rPr/>
        <w:t xml:space="preserve"> is not a Business Day), commencing </w:t>
      </w:r>
      <w:r>
        <w:rPr>
          <w:strike/>
        </w:rPr>
        <w:t>_____</w:t>
      </w:r>
      <w:r>
        <w:rPr>
          <w:u w:val="double"/>
        </w:rPr>
        <w:t>December 15</w:t>
      </w:r>
      <w:r>
        <w:rPr/>
        <w:t xml:space="preserve">, 2000, the Swap Counterparty will pay a Dollar Swap Payment to the </w:t>
      </w:r>
      <w:r>
        <w:rPr>
          <w:strike/>
        </w:rPr>
        <w:t>Trustee</w:t>
      </w:r>
      <w:r>
        <w:rPr/>
        <w:t xml:space="preserve"> </w:t>
      </w:r>
      <w:r>
        <w:rPr>
          <w:u w:val="double"/>
        </w:rPr>
        <w:t>Trust</w:t>
      </w:r>
      <w:r>
        <w:rPr/>
        <w:t xml:space="preserve"> and the </w:t>
      </w:r>
      <w:r>
        <w:rPr>
          <w:strike/>
        </w:rPr>
        <w:t>Trustee</w:t>
      </w:r>
      <w:r>
        <w:rPr/>
        <w:t xml:space="preserve"> </w:t>
      </w:r>
      <w:r>
        <w:rPr>
          <w:u w:val="double"/>
        </w:rPr>
        <w:t>Trust</w:t>
      </w:r>
      <w:r>
        <w:rPr/>
        <w:t xml:space="preserve"> will pay a Sterling Swap Payment to the Swap Counterparty. Following a Swap Termination Event under the Currency Swap, the Currency Swap will terminate and no further scheduled payments will be owed by the </w:t>
      </w:r>
      <w:r>
        <w:rPr>
          <w:strike/>
        </w:rPr>
        <w:t>Trustee</w:t>
      </w:r>
      <w:r>
        <w:rPr/>
        <w:t xml:space="preserve"> </w:t>
      </w:r>
      <w:r>
        <w:rPr>
          <w:u w:val="double"/>
        </w:rPr>
        <w:t>Trust</w:t>
      </w:r>
      <w:r>
        <w:rPr/>
        <w:t xml:space="preserve"> or the Swap Counterparty under the Currency Swap</w:t>
      </w:r>
      <w:r>
        <w:rPr>
          <w:strike/>
        </w:rPr>
        <w:t>(it being understood</w:t>
      </w:r>
      <w:r>
        <w:rPr>
          <w:u w:val="double"/>
        </w:rPr>
        <w:t xml:space="preserve">; </w:t>
      </w:r>
      <w:r>
        <w:rPr>
          <w:i/>
          <w:u w:val="double"/>
        </w:rPr>
        <w:t>provided, however</w:t>
      </w:r>
      <w:r>
        <w:rPr>
          <w:u w:val="double"/>
        </w:rPr>
        <w:t>,</w:t>
      </w:r>
      <w:r>
        <w:rPr/>
        <w:t xml:space="preserve"> that any unpaid Dollar Swap Payment or other US Dollar amount owing by the Swap Counterparty at the time of such Swap Termination Event shall remain due and owing and that, in the case of a Swap Termination Event (other than as a result of a Conversion Event), the </w:t>
      </w:r>
      <w:r>
        <w:rPr>
          <w:strike/>
        </w:rPr>
        <w:t>Trustee</w:t>
      </w:r>
      <w:r>
        <w:rPr/>
        <w:t xml:space="preserve"> </w:t>
      </w:r>
      <w:r>
        <w:rPr>
          <w:u w:val="double"/>
        </w:rPr>
        <w:t>Trust</w:t>
      </w:r>
      <w:r>
        <w:rPr/>
        <w:t xml:space="preserve"> on behalf of the Certificateholders shall have a claim against the Swap Counterparty for any Swap Termination Payment</w:t>
      </w:r>
      <w:r>
        <w:rPr>
          <w:strike/>
        </w:rPr>
        <w:t>)</w:t>
      </w:r>
      <w:r>
        <w:rPr/>
        <w:t>.</w:t>
      </w:r>
    </w:p>
    <w:p>
      <w:pPr>
        <w:pStyle w:val="Heading3"/>
        <w:widowControl/>
        <w:numPr>
          <w:ilvl w:val="0"/>
          <w:numId w:val="0"/>
        </w:numPr>
        <w:bidi w:val="0"/>
        <w:ind w:firstLine="720"/>
        <w:jc w:val="both"/>
        <w:outlineLvl w:val="2"/>
        <w:rPr>
          <w:rFonts w:ascii="Times New Roman" w:hAnsi="Times New Roman"/>
        </w:rPr>
      </w:pPr>
      <w:r>
        <w:rPr/>
        <w:t>(d)  </w:t>
        <w:tab/>
        <w:t xml:space="preserve">Upon the occurrence of a Conversion Event, the Notes shall in accordance with the terms of the Indenture automatically become US Dollar denominated Notes with a principal amount equal to the Certificate Principal Amount, effective from the date of the preceding interest payment date with respect to the Notes, with an annual interest rate of </w:t>
      </w:r>
      <w:r>
        <w:rPr>
          <w:strike/>
        </w:rPr>
        <w:t>a</w:t>
      </w:r>
      <w:r>
        <w:rPr/>
        <w:t xml:space="preserve">___% until the Final Distribution Date, payable on </w:t>
      </w:r>
      <w:r>
        <w:rPr>
          <w:strike/>
        </w:rPr>
        <w:t>_____</w:t>
      </w:r>
      <w:r>
        <w:rPr>
          <w:u w:val="double"/>
        </w:rPr>
        <w:t>June 15</w:t>
      </w:r>
      <w:r>
        <w:rPr/>
        <w:t xml:space="preserve"> and </w:t>
      </w:r>
      <w:r>
        <w:rPr>
          <w:strike/>
        </w:rPr>
        <w:t>_____</w:t>
      </w:r>
      <w:r>
        <w:rPr>
          <w:u w:val="double"/>
        </w:rPr>
        <w:t>December 15</w:t>
      </w:r>
      <w:r>
        <w:rPr/>
        <w:t xml:space="preserve"> of each year. Upon such conversion, all distributions on the Certificates shall be payable from amounts paid by the Company under the Notes and received by the </w:t>
      </w:r>
      <w:r>
        <w:rPr>
          <w:strike/>
        </w:rPr>
        <w:t>Trustee</w:t>
      </w:r>
      <w:r>
        <w:rPr/>
        <w:t xml:space="preserve"> </w:t>
      </w:r>
      <w:r>
        <w:rPr>
          <w:u w:val="double"/>
        </w:rPr>
        <w:t>Trust</w:t>
      </w:r>
      <w:r>
        <w:rPr/>
        <w:t xml:space="preserve"> in respect of the Notes or, if applicable, any Unpaid Amounts.</w:t>
      </w:r>
    </w:p>
    <w:p>
      <w:pPr>
        <w:pStyle w:val="Heading2"/>
        <w:widowControl/>
        <w:numPr>
          <w:ilvl w:val="0"/>
          <w:numId w:val="0"/>
        </w:numPr>
        <w:bidi w:val="0"/>
        <w:ind w:firstLine="720"/>
        <w:jc w:val="both"/>
        <w:outlineLvl w:val="1"/>
        <w:rPr>
          <w:rFonts w:ascii="Times New Roman" w:hAnsi="Times New Roman"/>
          <w:vanish/>
        </w:rPr>
      </w:pPr>
      <w:r>
        <w:rPr>
          <w:caps/>
          <w:u w:val="none"/>
        </w:rPr>
        <w:t>Section 3.4  </w:t>
        <w:tab/>
      </w:r>
      <w:bookmarkStart w:id="12" w:name="_Toc484274578"/>
      <w:r>
        <w:rPr/>
        <w:t>Realization Upon Defaulted Notes</w:t>
      </w:r>
      <w:r>
        <w:rPr>
          <w:u w:val="none"/>
        </w:rPr>
        <w:t>.</w:t>
      </w:r>
      <w:bookmarkEnd w:id="12"/>
      <w:r>
        <w:rPr>
          <w:u w:val="none"/>
        </w:rPr>
        <w:t xml:space="preserve"> </w:t>
      </w:r>
    </w:p>
    <w:p>
      <w:pPr>
        <w:pStyle w:val="BodyText"/>
        <w:widowControl/>
        <w:bidi w:val="0"/>
        <w:jc w:val="both"/>
        <w:rPr>
          <w:rFonts w:ascii="Times New Roman" w:hAnsi="Times New Roman"/>
        </w:rPr>
      </w:pPr>
      <w:r>
        <w:rPr/>
        <w:t xml:space="preserve">Subject to the provisions of Article IX, the Trustee, on behalf of the Certificateholders, shall take such reasonable steps as are necessary to receive payment or to permit recovery with respect to the Notes; </w:t>
      </w:r>
      <w:r>
        <w:rPr>
          <w:i/>
        </w:rPr>
        <w:t>provided, however</w:t>
      </w:r>
      <w:r>
        <w:rPr/>
        <w:t>, that if, notwithstanding the Trustee’s efforts, payment has not been made on the Notes and an Event of Default has occurred, the Trustee’s sole obligation in respect of the Notes shall be to undertake the procedures set forth in Section 6.13.</w:t>
      </w:r>
    </w:p>
    <w:p>
      <w:pPr>
        <w:pStyle w:val="Heading2"/>
        <w:widowControl/>
        <w:numPr>
          <w:ilvl w:val="0"/>
          <w:numId w:val="0"/>
        </w:numPr>
        <w:bidi w:val="0"/>
        <w:ind w:firstLine="720"/>
        <w:jc w:val="both"/>
        <w:outlineLvl w:val="1"/>
        <w:rPr>
          <w:rFonts w:ascii="Times New Roman" w:hAnsi="Times New Roman"/>
          <w:vanish/>
        </w:rPr>
      </w:pPr>
      <w:r>
        <w:rPr>
          <w:caps/>
          <w:u w:val="none"/>
        </w:rPr>
        <w:t>Section 3.5  </w:t>
        <w:tab/>
      </w:r>
      <w:bookmarkStart w:id="13" w:name="_Toc484274579"/>
      <w:r>
        <w:rPr/>
        <w:t>Access to Certain Documentation</w:t>
      </w:r>
      <w:r>
        <w:rPr>
          <w:u w:val="none"/>
        </w:rPr>
        <w:t>.</w:t>
      </w:r>
      <w:bookmarkEnd w:id="13"/>
      <w:r>
        <w:rPr>
          <w:u w:val="none"/>
        </w:rPr>
        <w:t xml:space="preserve"> </w:t>
      </w:r>
    </w:p>
    <w:p>
      <w:pPr>
        <w:pStyle w:val="BodyText"/>
        <w:widowControl/>
        <w:bidi w:val="0"/>
        <w:jc w:val="both"/>
        <w:rPr>
          <w:rFonts w:ascii="Times New Roman" w:hAnsi="Times New Roman"/>
        </w:rPr>
      </w:pPr>
      <w:r>
        <w:rPr/>
        <w:t>The Trustee</w:t>
      </w:r>
      <w:r>
        <w:rPr>
          <w:u w:val="double"/>
        </w:rPr>
        <w:t>, on behalf of the Trust,</w:t>
      </w:r>
      <w:r>
        <w:rPr/>
        <w:t xml:space="preserve"> shall provide to any US federal, State or local regulatory authority that may exercise authority over any Certificateholder or Certificate </w:t>
      </w:r>
      <w:r>
        <w:rPr>
          <w:strike/>
        </w:rPr>
        <w:t>Owners</w:t>
      </w:r>
      <w:r>
        <w:rPr/>
        <w:t xml:space="preserve"> </w:t>
      </w:r>
      <w:r>
        <w:rPr>
          <w:u w:val="double"/>
        </w:rPr>
        <w:t>Owner</w:t>
      </w:r>
      <w:r>
        <w:rPr/>
        <w:t xml:space="preserve"> access to the documentation regarding the Trust Assets required by applicable laws and regulations. Such access shall be afforded without charge, but only upon reasonable request and during normal business hours at the offices of the Trustee designated by such regulatory authorities. In addition, access to the documentation regarding the Trust Assets will be provided to any Certificateholder or Certificate Owner upon reasonable request during normal business hours at the Corporate Trust Office at the expense of the Certificateholder or Certificate Owner requesting such access. Additionally, the Trustee shall provide at the request of any Certificateholder without charge to such Certificateholder the name and address of each Certificateholder as recorded in the Certificate Register for purposes of contacting the other Certificateholders with respect to their rights hereunder or for the purposes of effecting purchases or sales of the Certificates, subject to the transfer restrictions set forth herein. The Company shall assist the Trustee in fulfilling any such request.</w:t>
      </w:r>
    </w:p>
    <w:p>
      <w:pPr>
        <w:pStyle w:val="Heading2"/>
        <w:widowControl/>
        <w:numPr>
          <w:ilvl w:val="0"/>
          <w:numId w:val="0"/>
        </w:numPr>
        <w:bidi w:val="0"/>
        <w:ind w:firstLine="720"/>
        <w:jc w:val="both"/>
        <w:outlineLvl w:val="1"/>
        <w:rPr>
          <w:rFonts w:ascii="Times New Roman" w:hAnsi="Times New Roman"/>
          <w:vanish/>
        </w:rPr>
      </w:pPr>
      <w:r>
        <w:rPr>
          <w:caps/>
          <w:u w:val="none"/>
        </w:rPr>
        <w:t>Section 3.6  </w:t>
        <w:tab/>
      </w:r>
      <w:bookmarkStart w:id="14" w:name="_Toc484274580"/>
      <w:r>
        <w:rPr/>
        <w:t>Expenses of Trust</w:t>
      </w:r>
      <w:r>
        <w:rPr>
          <w:u w:val="none"/>
        </w:rPr>
        <w:t>.</w:t>
      </w:r>
      <w:bookmarkEnd w:id="14"/>
      <w:r>
        <w:rPr>
          <w:u w:val="none"/>
        </w:rPr>
        <w:t xml:space="preserve"> </w:t>
      </w:r>
    </w:p>
    <w:p>
      <w:pPr>
        <w:pStyle w:val="BodyText"/>
        <w:widowControl/>
        <w:bidi w:val="0"/>
        <w:jc w:val="both"/>
        <w:rPr>
          <w:rFonts w:ascii="Times New Roman" w:hAnsi="Times New Roman"/>
        </w:rPr>
      </w:pPr>
      <w:r>
        <w:rPr/>
        <w:t>The Company hereby agrees to pay to each Person to whom the Trust becomes indebted or liable the full amount, when and as due, of any indebtedness, expenses or liabilities of the Trust, other than under the Certificates, the Currency Swap or the Call Option.</w:t>
      </w:r>
    </w:p>
    <w:p>
      <w:pPr>
        <w:pStyle w:val="Heading2"/>
        <w:widowControl/>
        <w:numPr>
          <w:ilvl w:val="0"/>
          <w:numId w:val="0"/>
        </w:numPr>
        <w:bidi w:val="0"/>
        <w:ind w:firstLine="720"/>
        <w:jc w:val="both"/>
        <w:outlineLvl w:val="1"/>
        <w:rPr>
          <w:rFonts w:ascii="Times New Roman" w:hAnsi="Times New Roman"/>
          <w:vanish/>
        </w:rPr>
      </w:pPr>
      <w:r>
        <w:rPr>
          <w:caps/>
          <w:u w:val="none"/>
        </w:rPr>
        <w:t>Section 3.7  </w:t>
        <w:tab/>
      </w:r>
      <w:bookmarkStart w:id="15" w:name="_Toc484274581"/>
      <w:r>
        <w:rPr/>
        <w:t>No Merger or Consolidation of Trust</w:t>
      </w:r>
      <w:r>
        <w:rPr>
          <w:u w:val="none"/>
        </w:rPr>
        <w:t>.</w:t>
      </w:r>
      <w:bookmarkEnd w:id="15"/>
      <w:r>
        <w:rPr>
          <w:u w:val="none"/>
        </w:rPr>
        <w:t xml:space="preserve"> </w:t>
      </w:r>
    </w:p>
    <w:p>
      <w:pPr>
        <w:pStyle w:val="BodyText"/>
        <w:widowControl/>
        <w:bidi w:val="0"/>
        <w:jc w:val="both"/>
        <w:rPr>
          <w:rFonts w:ascii="Times New Roman" w:hAnsi="Times New Roman"/>
        </w:rPr>
      </w:pPr>
      <w:r>
        <w:rPr/>
        <w:t>The Trust may not merge with or into, convert into, consolidate or amalgamate with or be replaced by, or convey, transfer or lease its properties and assets substantially as an entirety to, any other Person.</w:t>
      </w:r>
    </w:p>
    <w:p>
      <w:pPr>
        <w:pStyle w:val="Heading2"/>
        <w:widowControl/>
        <w:numPr>
          <w:ilvl w:val="0"/>
          <w:numId w:val="0"/>
        </w:numPr>
        <w:bidi w:val="0"/>
        <w:ind w:firstLine="720"/>
        <w:jc w:val="both"/>
        <w:outlineLvl w:val="1"/>
        <w:rPr>
          <w:rFonts w:ascii="Times New Roman" w:hAnsi="Times New Roman"/>
          <w:vanish/>
        </w:rPr>
      </w:pPr>
      <w:r>
        <w:rPr>
          <w:caps/>
          <w:u w:val="none"/>
        </w:rPr>
        <w:t>Section 3.8  </w:t>
        <w:tab/>
      </w:r>
      <w:bookmarkStart w:id="16" w:name="_Toc484274582"/>
      <w:r>
        <w:rPr/>
        <w:t>Exchange Rate Agency Agreement</w:t>
      </w:r>
      <w:r>
        <w:rPr>
          <w:u w:val="none"/>
        </w:rPr>
        <w:t>.</w:t>
      </w:r>
      <w:bookmarkEnd w:id="16"/>
      <w:r>
        <w:rPr>
          <w:u w:val="none"/>
        </w:rPr>
        <w:t xml:space="preserve"> </w:t>
      </w:r>
    </w:p>
    <w:p>
      <w:pPr>
        <w:pStyle w:val="BodyText"/>
        <w:widowControl/>
        <w:bidi w:val="0"/>
        <w:jc w:val="both"/>
        <w:rPr>
          <w:rFonts w:ascii="Times New Roman" w:hAnsi="Times New Roman"/>
        </w:rPr>
      </w:pPr>
      <w:r>
        <w:rPr/>
        <w:t>The Trust will appoint the Trustee as the agent under an exchange rate agency agreement, and will enter into such an agreement with the Trustee, provided that such agreement shall have such terms and provisions as are reasonably acceptable to the Trustee, promptly upon the occurrence of any event that, with the passage of time or the giving of notice or both, would constitute, and in no event later than the occurrence of, a Swap Termination Event (other than as a result of a Conversion Event).</w:t>
      </w:r>
    </w:p>
    <w:p>
      <w:pPr>
        <w:pStyle w:val="Heading1"/>
        <w:widowControl/>
        <w:numPr>
          <w:ilvl w:val="0"/>
          <w:numId w:val="0"/>
        </w:numPr>
        <w:bidi w:val="0"/>
        <w:outlineLvl w:val="0"/>
        <w:rPr>
          <w:rFonts w:ascii="Times New Roman" w:hAnsi="Times New Roman"/>
        </w:rPr>
      </w:pPr>
      <w:r>
        <w:rPr>
          <w:caps/>
          <w:u w:val="none"/>
        </w:rPr>
        <w:t xml:space="preserve">Article IV </w:t>
      </w:r>
      <w:r>
        <w:rPr/>
        <w:br/>
        <w:br/>
      </w:r>
      <w:bookmarkStart w:id="17" w:name="_Toc484274583"/>
      <w:r>
        <w:rPr/>
        <w:t>Distributions and Reports to Certificateholders;</w:t>
        <w:br/>
        <w:t>Transfer of Certificates</w:t>
      </w:r>
      <w:bookmarkEnd w:id="17"/>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4.1  </w:t>
        <w:tab/>
      </w:r>
      <w:bookmarkStart w:id="18" w:name="_Toc484274584"/>
      <w:r>
        <w:rPr/>
        <w:t>Distributions</w:t>
      </w:r>
      <w:r>
        <w:rPr>
          <w:u w:val="none"/>
        </w:rPr>
        <w:t>.</w:t>
      </w:r>
      <w:bookmarkEnd w:id="18"/>
    </w:p>
    <w:p>
      <w:pPr>
        <w:pStyle w:val="Heading3"/>
        <w:widowControl/>
        <w:numPr>
          <w:ilvl w:val="0"/>
          <w:numId w:val="0"/>
        </w:numPr>
        <w:bidi w:val="0"/>
        <w:ind w:firstLine="720"/>
        <w:jc w:val="both"/>
        <w:outlineLvl w:val="2"/>
        <w:rPr>
          <w:rFonts w:ascii="Times New Roman" w:hAnsi="Times New Roman"/>
        </w:rPr>
      </w:pPr>
      <w:r>
        <w:rPr/>
        <w:t>(a)  </w:t>
        <w:tab/>
        <w:t>On each Distribution Date, the Trustee shall</w:t>
      </w:r>
      <w:r>
        <w:rPr>
          <w:u w:val="double"/>
        </w:rPr>
        <w:t>, on behalf of the Trust,</w:t>
      </w:r>
      <w:r>
        <w:rPr/>
        <w:t xml:space="preserve"> distribute to the Certificateholders, to the extent of Available Funds, if any, the Dollar Distribution; </w:t>
      </w:r>
      <w:r>
        <w:rPr>
          <w:i/>
        </w:rPr>
        <w:t>provided, however</w:t>
      </w:r>
      <w:r>
        <w:rPr/>
        <w:t xml:space="preserve">, that if any such date is not a Business Day, the Trustee shall make such distribution on the next succeeding Business Day; </w:t>
      </w:r>
      <w:r>
        <w:rPr>
          <w:i/>
        </w:rPr>
        <w:t>provided, further</w:t>
      </w:r>
      <w:r>
        <w:rPr/>
        <w:t xml:space="preserve">, that if the Trustee has not received a Dollar Swap Payment or other US Dollar amount owed by the Swap Counterparty to the </w:t>
      </w:r>
      <w:r>
        <w:rPr>
          <w:strike/>
        </w:rPr>
        <w:t>Trustee</w:t>
      </w:r>
      <w:r>
        <w:rPr/>
        <w:t xml:space="preserve"> </w:t>
      </w:r>
      <w:r>
        <w:rPr>
          <w:u w:val="double"/>
        </w:rPr>
        <w:t>Trust</w:t>
      </w:r>
      <w:r>
        <w:rPr/>
        <w:t xml:space="preserve"> under the Currency Swap by 11:00 a.m. (New York City time) on such Distribution Date (or, if such Distribution Date occurs on or after a Conversion Event, if the Trustee has not received any payment owed on the Notes by 11:00 a.m. (New York City time) on such Distribution Date), or by 11:00 a.m. (New York City time) on any Business Day succeeding such Distribution Date, as applicable, the Trustee shall upon receipt of such funds make such distribution no later than the next succeeding Business Day (and no additional amounts shall accrue on the Certificates or be owed to Certificateholders as a result of any such delay); and </w:t>
      </w:r>
      <w:r>
        <w:rPr>
          <w:i/>
        </w:rPr>
        <w:t>provided, further</w:t>
      </w:r>
      <w:r>
        <w:rPr/>
        <w:t xml:space="preserve">, that, on each Distribution Date occurring on or after a Swap Termination Event (other than as a result of a Conversion Event), the Trustee shall distribute to the Certificateholders, to the extent of Available Funds, if any, a semi-annual Pounds Sterling payment calculated at an annual interest rate as described in the Indenture on the basis of a </w:t>
      </w:r>
      <w:r>
        <w:rPr>
          <w:strike/>
        </w:rPr>
        <w:t>365 or 366-day, as applicable, year and the actual number of days elapsed due on the principal amount of the Notes (subject to the provisos set forth above)</w:t>
      </w:r>
      <w:r>
        <w:rPr/>
        <w:t xml:space="preserve"> </w:t>
      </w:r>
      <w:r>
        <w:rPr>
          <w:u w:val="double"/>
        </w:rPr>
        <w:t>360-day year, consisting of twelve 30-day months</w:t>
      </w:r>
      <w:r>
        <w:rPr/>
        <w:t>. Any funds held by the Trustee hereunder as a result of a delay shall be held uninvested and without liability for interest thereon.</w:t>
      </w:r>
    </w:p>
    <w:p>
      <w:pPr>
        <w:pStyle w:val="Heading3"/>
        <w:widowControl/>
        <w:numPr>
          <w:ilvl w:val="0"/>
          <w:numId w:val="0"/>
        </w:numPr>
        <w:bidi w:val="0"/>
        <w:ind w:firstLine="720"/>
        <w:jc w:val="both"/>
        <w:outlineLvl w:val="2"/>
        <w:rPr>
          <w:rFonts w:ascii="Times New Roman" w:hAnsi="Times New Roman"/>
        </w:rPr>
      </w:pPr>
      <w:r>
        <w:rPr/>
        <w:t>(b)  </w:t>
        <w:tab/>
        <w:t>Dollar Distributions or Pounds Sterling distributions, as the case may be, to the Certificateholders with respect to each Distribution Date will be made to the Certificateholders of record on the related Record Date (except as otherwise provided in Section 10.1 in respect of the Final Distribution).</w:t>
      </w:r>
    </w:p>
    <w:p>
      <w:pPr>
        <w:pStyle w:val="Heading3"/>
        <w:widowControl/>
        <w:numPr>
          <w:ilvl w:val="0"/>
          <w:numId w:val="0"/>
        </w:numPr>
        <w:bidi w:val="0"/>
        <w:ind w:firstLine="720" w:end="180"/>
        <w:jc w:val="both"/>
        <w:outlineLvl w:val="2"/>
        <w:rPr>
          <w:rFonts w:ascii="Times New Roman" w:hAnsi="Times New Roman"/>
        </w:rPr>
      </w:pPr>
      <w:r>
        <w:rPr/>
        <w:t>(c)  </w:t>
        <w:tab/>
        <w:t>All Dollar Distributions or Pounds Sterling distributions, as the case may be, to Certificateholders shall be allocated pro rata among the Certificateholders based on the respective principal balance of the Certificates held by each such Certificateholder as of the Record Date with respect to such Distribution Date.</w:t>
      </w:r>
    </w:p>
    <w:p>
      <w:pPr>
        <w:pStyle w:val="Heading3"/>
        <w:widowControl/>
        <w:numPr>
          <w:ilvl w:val="0"/>
          <w:numId w:val="0"/>
        </w:numPr>
        <w:bidi w:val="0"/>
        <w:ind w:firstLine="720"/>
        <w:jc w:val="both"/>
        <w:outlineLvl w:val="2"/>
        <w:rPr>
          <w:rFonts w:ascii="Times New Roman" w:hAnsi="Times New Roman"/>
        </w:rPr>
      </w:pPr>
      <w:r>
        <w:rPr/>
        <w:t>(d)  </w:t>
        <w:tab/>
        <w:t>Subject to Sections 4.1(a) and 4.2, the Trustee will</w:t>
      </w:r>
      <w:r>
        <w:rPr>
          <w:u w:val="double"/>
        </w:rPr>
        <w:t>, on behalf of the Trust,</w:t>
      </w:r>
      <w:r>
        <w:rPr/>
        <w:t xml:space="preserve"> pay in immediately available funds on each Distribution Date all amounts payable to each Certificateholder with respect to any Certificate held by such Certificateholder or its nominee (without the necessity for any presentation or surrender thereof or any notation of such payment thereon) in the manner and at the address as each Certificateholder may from time to time direct the Trustee in writing 15 days prior to such Distribution Date requesting that such payment will be so made and designating the bank account to which such payment shall be made. The Trustee shall be entitled to rely on the last instruction delivered by the Certificateholder pursuant to this Section 4.1(d) unless a new instruction is delivered at least 15 days prior to a Distribution Date.</w:t>
      </w:r>
    </w:p>
    <w:p>
      <w:pPr>
        <w:pStyle w:val="Heading3"/>
        <w:widowControl/>
        <w:numPr>
          <w:ilvl w:val="0"/>
          <w:numId w:val="0"/>
        </w:numPr>
        <w:bidi w:val="0"/>
        <w:ind w:firstLine="720"/>
        <w:jc w:val="both"/>
        <w:outlineLvl w:val="2"/>
        <w:rPr>
          <w:rFonts w:ascii="Times New Roman" w:hAnsi="Times New Roman"/>
        </w:rPr>
      </w:pPr>
      <w:r>
        <w:rPr/>
        <w:t>(e)  </w:t>
        <w:tab/>
        <w:t>The rights of the Certificateholders to receive Dollar Distributions or Pounds Sterling distributions, as the case may be, in respect of the Certificates, and all interests of the Certificateholders in such Dollar Distributions or Pounds Sterling distributions, as the case may be, shall be as set forth herein. The Trustee shall in no way be responsible or liable to the Certificateholders</w:t>
      </w:r>
      <w:r>
        <w:rPr>
          <w:u w:val="double"/>
        </w:rPr>
        <w:t>,</w:t>
      </w:r>
      <w:r>
        <w:rPr/>
        <w:t xml:space="preserve"> nor shall any Certificateholder in any way be responsible or liable to any other Certificateholder</w:t>
      </w:r>
      <w:r>
        <w:rPr>
          <w:u w:val="double"/>
        </w:rPr>
        <w:t>,</w:t>
      </w:r>
      <w:r>
        <w:rPr/>
        <w:t xml:space="preserve"> in respect of amounts previously distributed on the Certificates based on their respective Certificate Principal Balances.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4.2  </w:t>
        <w:tab/>
      </w:r>
      <w:bookmarkStart w:id="19" w:name="_Toc484274585"/>
      <w:r>
        <w:rPr/>
        <w:t>Final Distributions</w:t>
      </w:r>
      <w:r>
        <w:rPr>
          <w:u w:val="none"/>
        </w:rPr>
        <w:t>.</w:t>
      </w:r>
      <w:bookmarkEnd w:id="19"/>
    </w:p>
    <w:p>
      <w:pPr>
        <w:pStyle w:val="Heading3"/>
        <w:widowControl/>
        <w:numPr>
          <w:ilvl w:val="0"/>
          <w:numId w:val="0"/>
        </w:numPr>
        <w:bidi w:val="0"/>
        <w:ind w:firstLine="720"/>
        <w:jc w:val="both"/>
        <w:outlineLvl w:val="2"/>
        <w:rPr>
          <w:rFonts w:ascii="Times New Roman" w:hAnsi="Times New Roman"/>
        </w:rPr>
      </w:pPr>
      <w:r>
        <w:rPr/>
        <w:t>(a)  </w:t>
        <w:tab/>
        <w:t>On the Final Distribution Date, the Trustee shall</w:t>
      </w:r>
      <w:r>
        <w:rPr>
          <w:u w:val="double"/>
        </w:rPr>
        <w:t>, on behalf of the Trust,</w:t>
      </w:r>
      <w:r>
        <w:rPr/>
        <w:t xml:space="preserve"> distribute to Certificateholders (in addition to the Dollar Distribution or Pounds Sterling distribution, as the case may be, as provided in Section 4.1) an amount equal to the </w:t>
      </w:r>
      <w:r>
        <w:rPr>
          <w:strike/>
        </w:rPr>
        <w:t>Option</w:t>
      </w:r>
      <w:r>
        <w:rPr/>
        <w:t xml:space="preserve"> </w:t>
      </w:r>
      <w:r>
        <w:rPr>
          <w:u w:val="double"/>
        </w:rPr>
        <w:t>Exercise</w:t>
      </w:r>
      <w:r>
        <w:rPr/>
        <w:t xml:space="preserve"> Proceeds or the Liquidation Proceeds, as the case may be, plus any other amount received in respect of the Currency Swap on the Final Distribution Date, plus any additional amounts remaining in the Certificate Account on the Final Distribution Date after the payment of amounts, if any, due to the Callholder pursuant to Section 3.3; </w:t>
      </w:r>
      <w:r>
        <w:rPr>
          <w:i/>
        </w:rPr>
        <w:t>provided, however</w:t>
      </w:r>
      <w:r>
        <w:rPr/>
        <w:t xml:space="preserve">, if the Final Distribution Date is not a Business Day, the Trustee shall make such distribution on the next succeeding Business Day; and </w:t>
      </w:r>
      <w:r>
        <w:rPr>
          <w:i/>
        </w:rPr>
        <w:t>provided, further,</w:t>
      </w:r>
      <w:r>
        <w:rPr/>
        <w:t xml:space="preserve"> that if the Trustee has not received such amounts by 11:00 a.m. (New York City time in the case of Dollars, and London time in the case of Pounds Sterling) on any Business Day, the Trustee shall upon receipt of such funds make such distribution no later than the next succeeding Business Day (and no additional amounts shall accrue on the Certificates or be owed to Certificateholders as a result of any such delay).</w:t>
      </w:r>
    </w:p>
    <w:p>
      <w:pPr>
        <w:pStyle w:val="Heading3"/>
        <w:widowControl/>
        <w:numPr>
          <w:ilvl w:val="0"/>
          <w:numId w:val="0"/>
        </w:numPr>
        <w:bidi w:val="0"/>
        <w:ind w:firstLine="720"/>
        <w:jc w:val="both"/>
        <w:outlineLvl w:val="2"/>
        <w:rPr>
          <w:rFonts w:ascii="Times New Roman" w:hAnsi="Times New Roman"/>
        </w:rPr>
      </w:pPr>
      <w:r>
        <w:rPr/>
        <w:t>(b)  </w:t>
        <w:tab/>
        <w:t>Except as otherwise provided in Article X, the Final Distribution shall be made to the Certificateholders only upon the presentation and surrender of such Certificates at a designated office of the Trustee in New York City or such other office of the Trustee as may be specified in the notice referred to in Section 11.6.</w:t>
      </w:r>
    </w:p>
    <w:p>
      <w:pPr>
        <w:pStyle w:val="Heading3"/>
        <w:widowControl/>
        <w:numPr>
          <w:ilvl w:val="0"/>
          <w:numId w:val="0"/>
        </w:numPr>
        <w:bidi w:val="0"/>
        <w:ind w:firstLine="720"/>
        <w:jc w:val="both"/>
        <w:outlineLvl w:val="2"/>
        <w:rPr>
          <w:rFonts w:ascii="Times New Roman" w:hAnsi="Times New Roman"/>
        </w:rPr>
      </w:pPr>
      <w:r>
        <w:rPr/>
        <w:t>(c)  </w:t>
        <w:tab/>
        <w:t>Except as otherwise provided in Article X, in connection with the Final Distribution, no later than 30 days preceding the Final Distribution Date, the Trustee shall give notice to each Certificateholder:</w:t>
      </w:r>
    </w:p>
    <w:p>
      <w:pPr>
        <w:pStyle w:val="Heading4"/>
        <w:widowControl/>
        <w:numPr>
          <w:ilvl w:val="0"/>
          <w:numId w:val="0"/>
        </w:numPr>
        <w:bidi w:val="0"/>
        <w:ind w:firstLine="720" w:start="720"/>
        <w:jc w:val="both"/>
        <w:outlineLvl w:val="3"/>
        <w:rPr>
          <w:rFonts w:ascii="Times New Roman" w:hAnsi="Times New Roman"/>
        </w:rPr>
      </w:pPr>
      <w:r>
        <w:rPr/>
        <w:t>(i)</w:t>
        <w:tab/>
        <w:t>of the date that the Trustee expects that the Final Distribution will be made but only upon presentation and surrender of Certificates at the Corporate Trust Office or such other office of the Trustee specified in such notice;</w:t>
      </w:r>
    </w:p>
    <w:p>
      <w:pPr>
        <w:pStyle w:val="Heading4"/>
        <w:widowControl/>
        <w:numPr>
          <w:ilvl w:val="0"/>
          <w:numId w:val="0"/>
        </w:numPr>
        <w:bidi w:val="0"/>
        <w:ind w:firstLine="720" w:start="720"/>
        <w:jc w:val="both"/>
        <w:outlineLvl w:val="3"/>
        <w:rPr>
          <w:rFonts w:ascii="Times New Roman" w:hAnsi="Times New Roman"/>
        </w:rPr>
      </w:pPr>
      <w:r>
        <w:rPr/>
        <w:t>(ii)</w:t>
        <w:tab/>
        <w:t>of the expected amount of the Final Distribution for each Certificate per initial $100,000 Certificate Principal Balance; and</w:t>
      </w:r>
    </w:p>
    <w:p>
      <w:pPr>
        <w:pStyle w:val="Heading4"/>
        <w:widowControl/>
        <w:numPr>
          <w:ilvl w:val="0"/>
          <w:numId w:val="0"/>
        </w:numPr>
        <w:bidi w:val="0"/>
        <w:ind w:firstLine="720" w:start="720"/>
        <w:jc w:val="both"/>
        <w:outlineLvl w:val="3"/>
        <w:rPr>
          <w:rFonts w:ascii="Times New Roman" w:hAnsi="Times New Roman"/>
        </w:rPr>
      </w:pPr>
      <w:r>
        <w:rPr/>
        <w:t>(iii)</w:t>
        <w:tab/>
        <w:t xml:space="preserve">that </w:t>
      </w:r>
      <w:r>
        <w:rPr>
          <w:strike/>
        </w:rPr>
        <w:t>the</w:t>
      </w:r>
      <w:r>
        <w:rPr/>
        <w:t xml:space="preserve"> </w:t>
      </w:r>
      <w:r>
        <w:rPr>
          <w:u w:val="double"/>
        </w:rPr>
        <w:t>no</w:t>
      </w:r>
      <w:r>
        <w:rPr/>
        <w:t xml:space="preserve"> Record Date </w:t>
      </w:r>
      <w:r>
        <w:rPr>
          <w:strike/>
        </w:rPr>
        <w:t>otherwise</w:t>
      </w:r>
      <w:r>
        <w:rPr/>
        <w:t xml:space="preserve"> </w:t>
      </w:r>
      <w:r>
        <w:rPr>
          <w:u w:val="double"/>
        </w:rPr>
        <w:t>is</w:t>
      </w:r>
      <w:r>
        <w:rPr/>
        <w:t xml:space="preserve"> applicable to </w:t>
      </w:r>
      <w:r>
        <w:rPr>
          <w:u w:val="double"/>
        </w:rPr>
        <w:t>distributions to be made on</w:t>
      </w:r>
      <w:r>
        <w:rPr/>
        <w:t xml:space="preserve"> the Final Distribution </w:t>
      </w:r>
      <w:r>
        <w:rPr>
          <w:strike/>
        </w:rPr>
        <w:t>is not applicable</w:t>
      </w:r>
      <w:r>
        <w:rPr/>
        <w:t xml:space="preserve"> and distributions will be made to Certificateholders only upon presentation and surrender of the Certificate or Certificates of each such Certificateholder at the Corporate Trust Office or such other specified office or agency of the Trustee.</w:t>
      </w:r>
    </w:p>
    <w:p>
      <w:pPr>
        <w:pStyle w:val="Heading3"/>
        <w:widowControl/>
        <w:numPr>
          <w:ilvl w:val="0"/>
          <w:numId w:val="0"/>
        </w:numPr>
        <w:bidi w:val="0"/>
        <w:ind w:firstLine="720"/>
        <w:jc w:val="both"/>
        <w:outlineLvl w:val="2"/>
        <w:rPr>
          <w:rFonts w:ascii="Times New Roman" w:hAnsi="Times New Roman"/>
        </w:rPr>
      </w:pPr>
      <w:r>
        <w:rPr/>
        <w:t>(d)  </w:t>
        <w:tab/>
        <w:t xml:space="preserve">Any funds not distributed to a Certificateholder on the Final Distribution Date because of the failure of such Certificateholder to tender its Certificate or Certificates shall, on such date, be set aside and held in trust and credited to the account of such non-tendering Certificateholder. If any Certificates as to which notice has been given pursuant to this Section 4.2 shall not have been surrendered for cancellation within six months after the date specified in such notice, the Trustee shall give a second notice to the remaining non-tendering Certificateholders to surrender their Certificates for cancellation in order to receive the Final Distribution with respect thereto. If within one year after the second notice all such Certificates shall not have been surrendered for cancellation, subject to applicable laws with respect to escheat of funds, such amounts shall be discharged from the Trust and be paid by the Trustee to the Company; and such </w:t>
      </w:r>
      <w:r>
        <w:rPr>
          <w:strike/>
        </w:rPr>
        <w:t>Certificateholder</w:t>
      </w:r>
      <w:r>
        <w:rPr/>
        <w:t xml:space="preserve"> </w:t>
      </w:r>
      <w:r>
        <w:rPr>
          <w:u w:val="double"/>
        </w:rPr>
        <w:t>Certificateholders</w:t>
      </w:r>
      <w:r>
        <w:rPr/>
        <w:t xml:space="preserve"> shall thereafter, as </w:t>
      </w:r>
      <w:r>
        <w:rPr>
          <w:strike/>
        </w:rPr>
        <w:t>an</w:t>
      </w:r>
      <w:r>
        <w:rPr/>
        <w:t xml:space="preserve"> unsecured general </w:t>
      </w:r>
      <w:r>
        <w:rPr>
          <w:strike/>
        </w:rPr>
        <w:t>creditor</w:t>
      </w:r>
      <w:r>
        <w:rPr/>
        <w:t xml:space="preserve"> </w:t>
      </w:r>
      <w:r>
        <w:rPr>
          <w:u w:val="double"/>
        </w:rPr>
        <w:t>creditors</w:t>
      </w:r>
      <w:r>
        <w:rPr/>
        <w:t xml:space="preserve">, look only to the Company for payment thereof (but only to the extent of the amounts so paid to the Company), and all liability of the Trustee with respect to such trust moneys shall thereupon cease. Upon receipt of such amounts from the Trustee, the Company shall set up a non-interest bearing trust account containing such funds for the benefit of such Certificateholders. The costs and expenses of maintaining the funds in trust shall be paid from the assets remaining in trust. No interest shall accrue on or be payable to any Certificateholder on any amount held in trust as a result of such Certificateholder’s failure to surrender its Certificate or Certificates for the Final Distribution in respect </w:t>
      </w:r>
      <w:r>
        <w:rPr>
          <w:strike/>
        </w:rPr>
        <w:t>thereto</w:t>
      </w:r>
      <w:r>
        <w:rPr/>
        <w:t xml:space="preserve"> </w:t>
      </w:r>
      <w:r>
        <w:rPr>
          <w:u w:val="double"/>
        </w:rPr>
        <w:t>thereof</w:t>
      </w:r>
      <w:r>
        <w:rPr/>
        <w:t xml:space="preserve"> in accordance with this Section 4.2.</w:t>
      </w:r>
    </w:p>
    <w:p>
      <w:pPr>
        <w:pStyle w:val="Heading2"/>
        <w:widowControl/>
        <w:numPr>
          <w:ilvl w:val="0"/>
          <w:numId w:val="0"/>
        </w:numPr>
        <w:bidi w:val="0"/>
        <w:ind w:firstLine="720"/>
        <w:jc w:val="both"/>
        <w:outlineLvl w:val="1"/>
        <w:rPr>
          <w:rFonts w:ascii="Times New Roman" w:hAnsi="Times New Roman"/>
          <w:vanish/>
        </w:rPr>
      </w:pPr>
      <w:r>
        <w:rPr>
          <w:caps/>
          <w:u w:val="none"/>
        </w:rPr>
        <w:t>Section 4.3  </w:t>
        <w:tab/>
      </w:r>
      <w:bookmarkStart w:id="20" w:name="_Toc484274586"/>
      <w:r>
        <w:rPr/>
        <w:t>Reports to Certificateholders</w:t>
      </w:r>
      <w:r>
        <w:rPr>
          <w:u w:val="none"/>
        </w:rPr>
        <w:t>.</w:t>
      </w:r>
      <w:bookmarkEnd w:id="20"/>
      <w:r>
        <w:rPr>
          <w:u w:val="none"/>
        </w:rPr>
        <w:t xml:space="preserve"> </w:t>
      </w:r>
    </w:p>
    <w:p>
      <w:pPr>
        <w:pStyle w:val="BodyText"/>
        <w:widowControl/>
        <w:bidi w:val="0"/>
        <w:jc w:val="both"/>
        <w:rPr>
          <w:rFonts w:ascii="Times New Roman" w:hAnsi="Times New Roman"/>
        </w:rPr>
      </w:pPr>
      <w:r>
        <w:rPr/>
        <w:t xml:space="preserve">On the Business Day following each Distribution Date, the Trustee shall forward or cause to be forwarded to the Company and each Certificateholder, a statement setting forth the </w:t>
      </w:r>
      <w:r>
        <w:rPr>
          <w:strike/>
        </w:rPr>
        <w:t>amount</w:t>
      </w:r>
      <w:r>
        <w:rPr/>
        <w:t xml:space="preserve"> </w:t>
      </w:r>
      <w:r>
        <w:rPr>
          <w:u w:val="double"/>
        </w:rPr>
        <w:t>amounts</w:t>
      </w:r>
      <w:r>
        <w:rPr/>
        <w:t xml:space="preserve"> of the distribution on such Distribution Date to Certificateholders allocable to principal of and interest on the Notes and the amount of aggregate unpaid interest accrued on the Notes as of such Distribution Date. Such amounts shall be expressed as a US Dollar amount per minimum denomination of Certificates or </w:t>
      </w:r>
      <w:r>
        <w:rPr>
          <w:strike/>
        </w:rPr>
        <w:t>for</w:t>
      </w:r>
      <w:r>
        <w:rPr/>
        <w:t xml:space="preserve"> </w:t>
      </w:r>
      <w:r>
        <w:rPr>
          <w:u w:val="double"/>
        </w:rPr>
        <w:t>per</w:t>
      </w:r>
      <w:r>
        <w:rPr/>
        <w:t xml:space="preserve"> such </w:t>
      </w:r>
      <w:r>
        <w:rPr>
          <w:strike/>
        </w:rPr>
        <w:t>other</w:t>
      </w:r>
      <w:r>
        <w:rPr/>
        <w:t xml:space="preserve"> specified portion thereof. Within the prescribed period of time for tax reporting purposes after the end of each calendar year during the term of this Agreement, the Trustee shall furnish (or cause to be furnished), to each person who at any time during such calendar year shall have been a holder of record of Certificates and received any payment thereon, a statement containing such information as may be required by the Code and applicable US Treasury Department regulations to enable such Certificateholder to prepare its US federal income tax returns and as shall have been provided to the Trustee by the Company, except as to the amounts of payments made to holders of record of Certificates.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4.4  </w:t>
        <w:tab/>
      </w:r>
      <w:bookmarkStart w:id="21" w:name="_Toc484274587"/>
      <w:r>
        <w:rPr/>
        <w:t>Compliance with Withholding Requirements; Tax Treatment and Reporting</w:t>
      </w:r>
      <w:r>
        <w:rPr>
          <w:u w:val="none"/>
        </w:rPr>
        <w:t>.</w:t>
      </w:r>
      <w:bookmarkEnd w:id="21"/>
    </w:p>
    <w:p>
      <w:pPr>
        <w:pStyle w:val="Heading3"/>
        <w:widowControl/>
        <w:numPr>
          <w:ilvl w:val="0"/>
          <w:numId w:val="0"/>
        </w:numPr>
        <w:bidi w:val="0"/>
        <w:ind w:firstLine="720"/>
        <w:jc w:val="both"/>
        <w:outlineLvl w:val="2"/>
        <w:rPr>
          <w:rFonts w:ascii="Times New Roman" w:hAnsi="Times New Roman"/>
        </w:rPr>
      </w:pPr>
      <w:r>
        <w:rPr/>
        <w:t>(a)  </w:t>
        <w:tab/>
        <w:t>Notwithstanding any other provision of this Agreement to the contrary, the Trustee shall</w:t>
      </w:r>
      <w:r>
        <w:rPr>
          <w:u w:val="double"/>
        </w:rPr>
        <w:t>, on behalf of the Trust,</w:t>
      </w:r>
      <w:r>
        <w:rPr/>
        <w:t xml:space="preserve"> comply with all US federal withholding requirements respecting distributions to Certificateholders that the Trustee reasonably believes are applicable under the Code (including any requirements to withhold at reduced rates upon receipt of appropriate US federal tax forms). The consent of Certificateholders or beneficial owners of Certificates shall not be required for such withholding. In the event the Trustee does withhold any amount from distributions to any Certificateholders pursuant to US federal withholding requirements, the Trustee shall indicate in the statement required pursuant to Section 4.3 the amount so withheld.</w:t>
      </w:r>
    </w:p>
    <w:p>
      <w:pPr>
        <w:pStyle w:val="Heading3"/>
        <w:widowControl/>
        <w:numPr>
          <w:ilvl w:val="0"/>
          <w:numId w:val="0"/>
        </w:numPr>
        <w:bidi w:val="0"/>
        <w:ind w:firstLine="720"/>
        <w:jc w:val="both"/>
        <w:outlineLvl w:val="2"/>
        <w:rPr>
          <w:rFonts w:ascii="Times New Roman" w:hAnsi="Times New Roman"/>
        </w:rPr>
      </w:pPr>
      <w:r>
        <w:rPr/>
        <w:t>(b)  </w:t>
        <w:tab/>
        <w:t>The Trustee shall (i) maintain (or cause to be maintained) the books of the Trust on a calendar year basis using the accrual method of accounting, (ii) pursuant to instructions from the Company, file such tax returns relating to the Trust and make such elections as may from time to time be required or appropriate under any applicable State or US federal statute or rule or regulation thereunder so as to maintain the Trust’s characterization as a grantor trust for US federal income tax purposes, (iii) cause such tax returns to be signed in the manner required by law, and (iv) collect and pay over (or cause to be collected and paid over) to the appropriate governmental authority any withholding tax as described in and in accordance with Section 4.4(a) with respect to income or distributions to Certificateholders.</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4.5  </w:t>
        <w:tab/>
      </w:r>
      <w:bookmarkStart w:id="22" w:name="_Toc484274588"/>
      <w:r>
        <w:rPr/>
        <w:t>Transfer of Certificates</w:t>
      </w:r>
      <w:r>
        <w:rPr>
          <w:u w:val="none"/>
        </w:rPr>
        <w:t>.</w:t>
      </w:r>
      <w:bookmarkEnd w:id="22"/>
    </w:p>
    <w:p>
      <w:pPr>
        <w:pStyle w:val="Heading3"/>
        <w:widowControl/>
        <w:numPr>
          <w:ilvl w:val="0"/>
          <w:numId w:val="0"/>
        </w:numPr>
        <w:bidi w:val="0"/>
        <w:ind w:firstLine="720"/>
        <w:jc w:val="both"/>
        <w:outlineLvl w:val="2"/>
        <w:rPr>
          <w:rFonts w:ascii="Times New Roman" w:hAnsi="Times New Roman"/>
        </w:rPr>
      </w:pPr>
      <w:r>
        <w:rPr/>
        <w:t>(a)  </w:t>
        <w:tab/>
      </w:r>
      <w:r>
        <w:rPr>
          <w:u w:val="single"/>
        </w:rPr>
        <w:t>General</w:t>
      </w:r>
      <w:r>
        <w:rPr/>
        <w:t>. A Certificateholder may, in any transaction or series of transactions, directly or indirectly (each of the following, a “transfer”), (i) sell, assign or otherwise in any manner dispose of all or any part of its interest in any Certificate issued to it, whether by act, deed, merger or otherwise, or (ii) mortgage, pledge or create a lien or security interest in such beneficial interest, in each case, only if such transfer satisfies the conditions set forth in this Section 4.5. No purported transfer of any interest in any Certificate or any portion thereof that is not made in accordance with this Section 4.5 shall be given effect by or be binding upon the Trust or the Trustee</w:t>
      </w:r>
      <w:r>
        <w:rPr>
          <w:u w:val="double"/>
        </w:rPr>
        <w:t>,</w:t>
      </w:r>
      <w:r>
        <w:rPr/>
        <w:t xml:space="preserve"> and any such purported transfer shall be null and void </w:t>
      </w:r>
      <w:r>
        <w:rPr>
          <w:i/>
        </w:rPr>
        <w:t>ab initio</w:t>
      </w:r>
      <w:r>
        <w:rPr/>
        <w:t xml:space="preserve"> and vest in the transferee no rights against the Trust or the Trustee.</w:t>
      </w:r>
    </w:p>
    <w:p>
      <w:pPr>
        <w:pStyle w:val="Heading3"/>
        <w:widowControl/>
        <w:numPr>
          <w:ilvl w:val="0"/>
          <w:numId w:val="0"/>
        </w:numPr>
        <w:bidi w:val="0"/>
        <w:ind w:firstLine="720"/>
        <w:jc w:val="both"/>
        <w:outlineLvl w:val="2"/>
        <w:rPr>
          <w:rFonts w:ascii="Times New Roman" w:hAnsi="Times New Roman"/>
        </w:rPr>
      </w:pPr>
      <w:r>
        <w:rPr/>
        <w:t>(b)  </w:t>
        <w:tab/>
      </w:r>
      <w:r>
        <w:rPr>
          <w:u w:val="single"/>
        </w:rPr>
        <w:t>Conditions to Transfer</w:t>
      </w:r>
      <w:r>
        <w:rPr/>
        <w:t>. Subject to the requirements contained in Articles V and VI, a Certificateholder may sell or otherwise transfer a Certificate or its beneficial interest in a Certificate only (i) to the Trust, (ii) pursuant to a registration statement that has been declared effective under the Securities Act, (iii) for so long as the Certificates are eligible for resale pursuant to Rule 144A, to a person it reasonably believes is a QIB that purchases for its own account or for the account of a QIB to whom notice is given that the transfer is being made in reliance on Rule 144A, (iv) pursuant to offers and sales to non-US persons that occur outside the US within the meaning of Regulation S or (v) pursuant to any other available exemption from the registration requirements of the Securities Act.</w:t>
      </w:r>
    </w:p>
    <w:p>
      <w:pPr>
        <w:pStyle w:val="Heading3"/>
        <w:widowControl/>
        <w:numPr>
          <w:ilvl w:val="0"/>
          <w:numId w:val="0"/>
        </w:numPr>
        <w:bidi w:val="0"/>
        <w:ind w:firstLine="720"/>
        <w:jc w:val="both"/>
        <w:outlineLvl w:val="2"/>
        <w:rPr>
          <w:rFonts w:ascii="Times New Roman" w:hAnsi="Times New Roman"/>
        </w:rPr>
      </w:pPr>
      <w:r>
        <w:rPr/>
        <w:t>(c)  </w:t>
        <w:tab/>
      </w:r>
      <w:r>
        <w:rPr>
          <w:u w:val="single"/>
        </w:rPr>
        <w:t>Invalid Transfers</w:t>
      </w:r>
      <w:r>
        <w:rPr/>
        <w:t>. If the Trustee or the Certificate Registrar determines that (i) a transfer or attempted or purported transfer of any interest in any Certificate was consummated in reliance on an incorrect form or certification from the transferee or purported transferee, (ii) a transferee failed to deliver to the Trustee or the Certificate Registrar any form or certificate required to be delivered hereunder or (iii) the holder of any interest in a Certificate is in breach of any representation or agreement set forth in any certificate or any deemed representation or agreement of such holder, the Certificate Registrar will not register such attempted or purported transfer</w:t>
      </w:r>
      <w:r>
        <w:rPr>
          <w:u w:val="double"/>
        </w:rPr>
        <w:t>,</w:t>
      </w:r>
      <w:r>
        <w:rPr/>
        <w:t xml:space="preserve"> and</w:t>
      </w:r>
      <w:r>
        <w:rPr>
          <w:u w:val="double"/>
        </w:rPr>
        <w:t>,</w:t>
      </w:r>
      <w:r>
        <w:rPr/>
        <w:t xml:space="preserve"> if a transfer has been registered, such transfer shall be absolutely null and void</w:t>
      </w:r>
      <w:r>
        <w:rPr>
          <w:i/>
        </w:rPr>
        <w:t xml:space="preserve"> ab initio</w:t>
      </w:r>
      <w:r>
        <w:rPr/>
        <w:t xml:space="preserve"> and shall vest no rights in the purported transferee (such purported transferee, a “Disqualified Transferee”)</w:t>
      </w:r>
      <w:r>
        <w:rPr>
          <w:u w:val="double"/>
        </w:rPr>
        <w:t>,</w:t>
      </w:r>
      <w:r>
        <w:rPr/>
        <w:t xml:space="preserve"> and the last preceding Holder of such Certificate that was not a Disqualified Transferee shall be restored to all rights as a Holder thereof retroactively to the date of transfer of such Certificate by such Holder, except as to any payments made to such transferee prior to receipt by the Trustee of notice or other evidence that such transferee was a Disqualified Transferee.</w:t>
      </w:r>
    </w:p>
    <w:p>
      <w:pPr>
        <w:pStyle w:val="BodyTextFirstIndent"/>
        <w:widowControl/>
        <w:bidi w:val="0"/>
        <w:ind w:firstLine="720"/>
        <w:jc w:val="both"/>
        <w:rPr>
          <w:rFonts w:ascii="Times New Roman" w:hAnsi="Times New Roman"/>
        </w:rPr>
      </w:pPr>
      <w:r>
        <w:rPr/>
        <w:t>In addition, the Trustee may require that the interest in the Certificate purported to be transferred to a Disqualified Transferee be transferred to any Person (other than the Company or one of its Affiliates) designated by the Company at a price determined by the Company based upon its estimation of the prevailing price of such interest</w:t>
      </w:r>
      <w:r>
        <w:rPr>
          <w:u w:val="double"/>
        </w:rPr>
        <w:t>,</w:t>
      </w:r>
      <w:r>
        <w:rPr/>
        <w:t xml:space="preserve"> and each Certificateholder, by acceptance of an interest in a Certificate, authorizes the Trustee to take such action. In any case, neither the Trustee nor the Certificate Registrar will be held responsible for any losses that may be incurred as a result of any required transfer under this Section 4.5(c).</w:t>
      </w:r>
    </w:p>
    <w:p>
      <w:pPr>
        <w:pStyle w:val="BodyTextFirstIndent"/>
        <w:widowControl/>
        <w:bidi w:val="0"/>
        <w:ind w:firstLine="720"/>
        <w:jc w:val="both"/>
        <w:rPr>
          <w:rFonts w:ascii="Times New Roman" w:hAnsi="Times New Roman"/>
        </w:rPr>
      </w:pPr>
      <w:r>
        <w:rPr/>
        <w:t xml:space="preserve">Notwithstanding anything contained herein to the contrary, neither the Trustee nor the Certificate Registrar shall be responsible for ascertaining whether or not any transfer complies with the registration provisions of or exemptions from, or is otherwise not subject to the provisions of, the Securities Act or applicable state securities law; </w:t>
      </w:r>
      <w:r>
        <w:rPr>
          <w:i/>
        </w:rPr>
        <w:t>provided, however,</w:t>
      </w:r>
      <w:r>
        <w:rPr/>
        <w:t xml:space="preserve"> that if a certificate is specifically required to be delivered to the Trustee or the Certificate Registrar by a purchaser or transferee of a Certificate, the Trustee or the Certificate Registrar shall be under a duty to examine the same to determine whether it conforms to the requirements of this Agreement and shall promptly notify the party delivering the same if such certificate does not conform.</w:t>
      </w:r>
    </w:p>
    <w:p>
      <w:pPr>
        <w:pStyle w:val="Heading2"/>
        <w:widowControl/>
        <w:numPr>
          <w:ilvl w:val="0"/>
          <w:numId w:val="0"/>
        </w:numPr>
        <w:bidi w:val="0"/>
        <w:ind w:firstLine="720"/>
        <w:jc w:val="both"/>
        <w:outlineLvl w:val="1"/>
        <w:rPr>
          <w:rFonts w:ascii="Times New Roman" w:hAnsi="Times New Roman"/>
          <w:vanish/>
        </w:rPr>
      </w:pPr>
      <w:r>
        <w:rPr>
          <w:caps/>
          <w:u w:val="none"/>
        </w:rPr>
        <w:t>Section 4.6  </w:t>
        <w:tab/>
      </w:r>
      <w:bookmarkStart w:id="23" w:name="_Toc484274589"/>
      <w:r>
        <w:rPr/>
        <w:t>Rule 144A Information</w:t>
      </w:r>
      <w:r>
        <w:rPr>
          <w:u w:val="none"/>
        </w:rPr>
        <w:t>.</w:t>
      </w:r>
      <w:bookmarkEnd w:id="23"/>
      <w:r>
        <w:rPr>
          <w:u w:val="none"/>
        </w:rPr>
        <w:t xml:space="preserve"> </w:t>
      </w:r>
    </w:p>
    <w:p>
      <w:pPr>
        <w:pStyle w:val="BodyText"/>
        <w:widowControl/>
        <w:bidi w:val="0"/>
        <w:jc w:val="both"/>
        <w:rPr>
          <w:rFonts w:ascii="Times New Roman" w:hAnsi="Times New Roman"/>
        </w:rPr>
      </w:pPr>
      <w:r>
        <w:rPr/>
        <w:t xml:space="preserve">At any time when the Trust is not subject to Section 13 or 15(d) of the Exchange Act, upon the request of any Certificateholder and provided that the Company shall have complied with the succeeding sentence, the </w:t>
      </w:r>
      <w:r>
        <w:rPr>
          <w:strike/>
        </w:rPr>
        <w:t>Trust</w:t>
      </w:r>
      <w:r>
        <w:rPr/>
        <w:t xml:space="preserve"> </w:t>
      </w:r>
      <w:r>
        <w:rPr>
          <w:u w:val="double"/>
        </w:rPr>
        <w:t>Trustee</w:t>
      </w:r>
      <w:r>
        <w:rPr/>
        <w:t xml:space="preserve"> shall promptly furnish to such Certificateholder or to a prospective purchaser of a Certificate designated by such Certificateholder, as the case may be, the information required to be delivered pursuant to paragraph (d)(4) of Rule 144A in order to permit compliance by such Certificateholder with Rule 144A in connection with the resale of such Certificate by such Certificateholder. The Company will provide to the </w:t>
      </w:r>
      <w:r>
        <w:rPr>
          <w:strike/>
        </w:rPr>
        <w:t>Trust</w:t>
      </w:r>
      <w:r>
        <w:rPr/>
        <w:t xml:space="preserve"> </w:t>
      </w:r>
      <w:r>
        <w:rPr>
          <w:u w:val="double"/>
        </w:rPr>
        <w:t>Trustee</w:t>
      </w:r>
      <w:r>
        <w:rPr/>
        <w:t xml:space="preserve">, in a timely manner, the information required to be delivered by the </w:t>
      </w:r>
      <w:r>
        <w:rPr>
          <w:strike/>
        </w:rPr>
        <w:t>Trust</w:t>
      </w:r>
      <w:r>
        <w:rPr/>
        <w:t xml:space="preserve"> </w:t>
      </w:r>
      <w:r>
        <w:rPr>
          <w:u w:val="double"/>
        </w:rPr>
        <w:t>Trustee</w:t>
      </w:r>
      <w:r>
        <w:rPr/>
        <w:t xml:space="preserve"> under this Section 4.6.</w:t>
      </w:r>
    </w:p>
    <w:p>
      <w:pPr>
        <w:pStyle w:val="Heading1"/>
        <w:widowControl/>
        <w:numPr>
          <w:ilvl w:val="0"/>
          <w:numId w:val="0"/>
        </w:numPr>
        <w:bidi w:val="0"/>
        <w:outlineLvl w:val="0"/>
        <w:rPr>
          <w:rFonts w:ascii="Times New Roman" w:hAnsi="Times New Roman"/>
        </w:rPr>
      </w:pPr>
      <w:r>
        <w:rPr>
          <w:caps/>
          <w:u w:val="none"/>
        </w:rPr>
        <w:t xml:space="preserve">Article V </w:t>
      </w:r>
      <w:r>
        <w:rPr/>
        <w:br/>
        <w:br/>
      </w:r>
      <w:bookmarkStart w:id="24" w:name="_Toc484274590"/>
      <w:r>
        <w:rPr/>
        <w:t>Security Forms</w:t>
      </w:r>
      <w:bookmarkEnd w:id="24"/>
    </w:p>
    <w:p>
      <w:pPr>
        <w:pStyle w:val="Heading2"/>
        <w:widowControl/>
        <w:numPr>
          <w:ilvl w:val="0"/>
          <w:numId w:val="0"/>
        </w:numPr>
        <w:bidi w:val="0"/>
        <w:ind w:firstLine="720"/>
        <w:jc w:val="both"/>
        <w:outlineLvl w:val="1"/>
        <w:rPr>
          <w:rFonts w:ascii="Times New Roman" w:hAnsi="Times New Roman"/>
          <w:vanish/>
        </w:rPr>
      </w:pPr>
      <w:r>
        <w:rPr>
          <w:caps/>
          <w:u w:val="none"/>
        </w:rPr>
        <w:t>Section 5.1  </w:t>
        <w:tab/>
      </w:r>
      <w:bookmarkStart w:id="25" w:name="_Toc484274591"/>
      <w:r>
        <w:rPr/>
        <w:t>Forms Generally</w:t>
      </w:r>
      <w:r>
        <w:rPr>
          <w:u w:val="none"/>
        </w:rPr>
        <w:t>.</w:t>
      </w:r>
      <w:bookmarkEnd w:id="25"/>
      <w:r>
        <w:rPr>
          <w:u w:val="none"/>
        </w:rPr>
        <w:t xml:space="preserve"> </w:t>
      </w:r>
    </w:p>
    <w:p>
      <w:pPr>
        <w:pStyle w:val="BodyText"/>
        <w:widowControl/>
        <w:bidi w:val="0"/>
        <w:jc w:val="both"/>
        <w:rPr>
          <w:rFonts w:ascii="Times New Roman" w:hAnsi="Times New Roman"/>
        </w:rPr>
      </w:pPr>
      <w:r>
        <w:rPr/>
        <w:t>The Certificates and the Trustee’s certificates of authentication thereof shall be in substantially the forms set forth in Exhibit A, with such appropriate legends, insertions, omissions, substitutions and other variations as are required or permitted by this Agreement, and may have such letters, numbers or other marks of identification and such legends or endorsements placed thereon as may be required to comply with the rules of any securities exchange or as may, consistently herewith, be determined by the officers executing such Certificates, as evidenced by their execution of the Certificates.</w:t>
      </w:r>
    </w:p>
    <w:p>
      <w:pPr>
        <w:pStyle w:val="BodyTextFirstIndent"/>
        <w:widowControl/>
        <w:bidi w:val="0"/>
        <w:ind w:firstLine="720"/>
        <w:jc w:val="both"/>
        <w:rPr>
          <w:rFonts w:ascii="Times New Roman" w:hAnsi="Times New Roman"/>
        </w:rPr>
      </w:pPr>
      <w:r>
        <w:rPr/>
        <w:t>Certificates offered and sold in their initial distribution in reliance on Rule 144A shall be issued in the form of one or more Restricted Global Securities (collectively, and, together with their Successor Certificates, the “Rule 144A Global Security”). Certificates offered and sold in their initial distribution in reliance on Regulation S shall be issued in the form of one or more Regulation S Global Securities (collectively, and, together with their Successor Certificates, the “Regulation S Global Security”). Each of the Rule 144A Global Security and the Regulation S Global Security shall be in fully registered form without interest coupons, substantially in the form of Certificate set forth in Exhibit A, with such applicable legends as are provided for in Sections 5.2 and 6.8(a), except as otherwise permitted herein, and initially shall be registered in the name of the Depository or its nominee and deposited with The Bank of New York, as custodian for the Depository, at the corporate trust business office of The Bank of New York, duly executed by the Trust and authenticated by the Trustee as hereinafter provided, for credit by the Depository to the respective accounts of beneficial owners of the Certificates represented thereby (or such other accounts as they may direct).</w:t>
      </w:r>
    </w:p>
    <w:p>
      <w:pPr>
        <w:pStyle w:val="Heading2"/>
        <w:widowControl/>
        <w:numPr>
          <w:ilvl w:val="0"/>
          <w:numId w:val="0"/>
        </w:numPr>
        <w:bidi w:val="0"/>
        <w:spacing w:before="0" w:after="120"/>
        <w:ind w:firstLine="720"/>
        <w:jc w:val="both"/>
        <w:outlineLvl w:val="1"/>
        <w:rPr>
          <w:rFonts w:ascii="Times New Roman" w:hAnsi="Times New Roman"/>
          <w:vanish/>
        </w:rPr>
      </w:pPr>
      <w:r>
        <w:rPr>
          <w:caps/>
          <w:u w:val="none"/>
        </w:rPr>
        <w:t>Section 5.2  </w:t>
        <w:tab/>
      </w:r>
      <w:bookmarkStart w:id="26" w:name="_Toc484274592"/>
      <w:r>
        <w:rPr/>
        <w:t>Restricted Legend</w:t>
      </w:r>
      <w:r>
        <w:rPr>
          <w:u w:val="none"/>
        </w:rPr>
        <w:t>.</w:t>
      </w:r>
      <w:bookmarkEnd w:id="26"/>
      <w:r>
        <w:rPr>
          <w:u w:val="none"/>
        </w:rPr>
        <w:t xml:space="preserve"> </w:t>
      </w:r>
    </w:p>
    <w:p>
      <w:pPr>
        <w:pStyle w:val="BodyText"/>
        <w:widowControl/>
        <w:bidi w:val="0"/>
        <w:spacing w:before="0" w:after="120"/>
        <w:jc w:val="both"/>
        <w:rPr>
          <w:rFonts w:ascii="Times New Roman" w:hAnsi="Times New Roman"/>
        </w:rPr>
      </w:pPr>
      <w:r>
        <w:rPr/>
      </w:r>
    </w:p>
    <w:p>
      <w:pPr>
        <w:pStyle w:val="Heading3"/>
        <w:widowControl/>
        <w:numPr>
          <w:ilvl w:val="0"/>
          <w:numId w:val="0"/>
        </w:numPr>
        <w:bidi w:val="0"/>
        <w:spacing w:before="0" w:after="120"/>
        <w:ind w:firstLine="720"/>
        <w:jc w:val="both"/>
        <w:outlineLvl w:val="2"/>
        <w:rPr>
          <w:rFonts w:ascii="Times New Roman" w:hAnsi="Times New Roman"/>
        </w:rPr>
      </w:pPr>
      <w:r>
        <w:rPr/>
        <w:t>(a)  </w:t>
        <w:tab/>
        <w:t>All Certificates initially issued hereunder shall, upon issuance, bear the applicable legends as are provided in Section 5.2(c) and such legends shall not be removed except as set forth in Section 5.2(b) or unless the Trustee determines otherwise based upon a Company Order (which shall state that such Certificate may be issued without such legend in accordance with applicable law) delivered to the Trustee (and the Certificate Registrar, if other than the Trustee).</w:t>
      </w:r>
    </w:p>
    <w:p>
      <w:pPr>
        <w:pStyle w:val="Heading3"/>
        <w:widowControl/>
        <w:numPr>
          <w:ilvl w:val="0"/>
          <w:numId w:val="0"/>
        </w:numPr>
        <w:bidi w:val="0"/>
        <w:ind w:firstLine="720"/>
        <w:jc w:val="both"/>
        <w:outlineLvl w:val="2"/>
        <w:rPr>
          <w:rFonts w:ascii="Times New Roman" w:hAnsi="Times New Roman"/>
        </w:rPr>
      </w:pPr>
      <w:r>
        <w:rPr/>
        <w:t>(b)  </w:t>
        <w:tab/>
        <w:t>Unless with respect to the whole or any portion of any Certificate that bears or is required to bear the applicable legends as are provided in Section 5.2(c) the Trustee determines otherwise as provided in Section 5.2(a), such legends shall be removed by the Trustee (i) in the case of the Rule 144A Global Security or any Definitive Certificate issued in exchange for an interest therein, upon presentation thereof by the Certificateholder to the Trustee at any time on or after the occurrence of the “Resale Restriction Termination Date” specified in such legends and (ii) in the case of the Regulation S Global Security or any Definitive Certificate issued in exchange for an interest therein, upon presentation thereof by the Certificateholder to the Trustee at any time on or after the expiration of the “distribution compliance period” (within the meaning of Regulation S). If a holder of a beneficial interest in the Rule 144A Global Security wishes at any time to transfer such interest to a Person who wishes to take delivery thereof in the form of a beneficial interest in the Regulation S Global Security, or if a holder of a beneficial interest in the Regulation S Global Security wishes at any time to transfer such interest to a Person who wishes to take delivery thereof in the form of a beneficial interest in the Rule 144A Global Security, upon receipt by the Trustee of (A) written instructions given in accordance with the rules and procedures of the Depository (together with, as applicable, the rules and procedures of Euroclear and Clearstream, Luxembourg, the “Applicable Procedures”) from the applicable Participant directing the Trustee to cause to be credited to another account of a Participant a beneficial interest in the Regulation S Global Security or the Rule 144A Global Security (as the case may be) equal to that of the beneficial interest in the Rule 144A Global Security or the Regulation S Global Security (as the case may be) to be so transferred, (B) a written order given in accordance with the Applicable Procedures containing information regarding such other account, as well as the account of Euroclear or Clearstream, Luxembourg (as the case may be) for which such other account is held, to be credited with, and the account of such applicable Participant to be debited for, such beneficial interest and (C) a certificate satisfactory to the Company, the Trust and the Trustee, as to such transfer’s compliance with the registration requirements of the Securities Act, given by the transferor of such beneficial interest, the Trustee shall (1) reduce or increase (as the case may be) the principal amount of the Rule 144A Global Security, and increase or reduce (as the case may be) the principal amount of the Regulation S Global Security, in each case by an amount equal to the principal amount of the beneficial interest in the Rule 144A Global Security or the Regulation S Global Security (as the case may be) to be so transferred, as evidenced as provided in Section 6.8(c) and (2) instruct the Depository to credit and debit such beneficial interests to the respective accounts specified in the instructions referred to above.</w:t>
      </w:r>
    </w:p>
    <w:p>
      <w:pPr>
        <w:pStyle w:val="Heading3"/>
        <w:widowControl/>
        <w:numPr>
          <w:ilvl w:val="0"/>
          <w:numId w:val="0"/>
        </w:numPr>
        <w:bidi w:val="0"/>
        <w:ind w:firstLine="720"/>
        <w:jc w:val="both"/>
        <w:outlineLvl w:val="2"/>
        <w:rPr>
          <w:rFonts w:ascii="Times New Roman" w:hAnsi="Times New Roman"/>
        </w:rPr>
      </w:pPr>
      <w:r>
        <w:rPr/>
        <w:t>(c)  </w:t>
        <w:tab/>
        <w:t>Each Certificate initially issued hereunder shall, upon issuance, bear the following legends:</w:t>
      </w:r>
    </w:p>
    <w:p>
      <w:pPr>
        <w:pStyle w:val="BodyTextFirstIndent"/>
        <w:widowControl/>
        <w:bidi w:val="0"/>
        <w:ind w:firstLine="720"/>
        <w:jc w:val="both"/>
        <w:rPr>
          <w:rFonts w:ascii="Times New Roman" w:hAnsi="Times New Roman"/>
          <w:b/>
        </w:rPr>
      </w:pPr>
      <w:r>
        <w:rPr>
          <w:b/>
        </w:rPr>
        <w:t>THIS CERTIFICATE HAS NOT BEEN REGISTERED UNDER THE UNITED STATES SECURITIES ACT OF 1933, AS AMENDED (THE “SECURITIES ACT”), OR ANY STATE SECURITIES LAWS.    NEITHER THIS CERTIFICATE NOR ANY INTEREST OR PARTICIPATION HEREIN MAY BE REOFFERED, SOLD, ASSIGNED, TRANSFERRED, PLEDGED, ENCUMBERED OR OTHERWISE DISPOSED OF IN THE ABSENCE OF SUCH REGISTRATION OR UNLESS SUCH TRANSACTION IS EXEMPT FROM, OR NOT SUBJECT TO, SUCH REGISTRATION.</w:t>
      </w:r>
    </w:p>
    <w:p>
      <w:pPr>
        <w:pStyle w:val="BodyTextFirstIndent"/>
        <w:widowControl/>
        <w:bidi w:val="0"/>
        <w:ind w:firstLine="720"/>
        <w:jc w:val="both"/>
        <w:rPr>
          <w:rFonts w:ascii="Times New Roman" w:hAnsi="Times New Roman"/>
          <w:b/>
        </w:rPr>
      </w:pPr>
      <w:r>
        <w:rPr>
          <w:b/>
        </w:rPr>
        <w:t xml:space="preserve">THE HOLDER OF THIS CERTIFICATE BY ITS ACCEPTANCE HEREOF AGREES TO OFFER, SELL OR OTHERWISE TRANSFER THIS CERTIFICATE, PRIOR TO THE DATE (THE “RESALE RESTRICTION TERMINATION DATE”) WHICH IS TWO YEARS AFTER THE LATER OF THE ORIGINAL ISSUE DATE HEREOF AND THE LAST DATE ON WHICH THE TRUST OR ANY AFFILIATE OF THE TRUST WAS THE OWNER OF THIS CERTIFICATE (OR ANY PREDECESSOR OF THIS CERTIFICATE) OR THE EXPIRATION OF SUCH SHORTER PERIOD AS MAY BE PRESCRIBED BY RULE 144(k), OR ANY SUCCESSOR PROVISION THEREOF, UNDER THE SECURITIES ACT, ONLY (A) TO THE TRUST, (B) PURSUANT TO A REGISTRATION STATEMENT WHICH HAS BEEN DECLARED EFFECTIVE UNDER THE SECURITIES ACT, (C) FOR SO LONG AS THIS CERTIFICATE IS ELIGIBLE FOR RESALE PURSUANT TO RULE 144A, TO A PERSON IT REASONABLY BELIEVES IS A “QUALIFIED INSTITUTIONAL BUYER” AS DEFINED IN RULE 144A UNDER THE SECURITIES ACT THAT PURCHASES FOR ITS OWN ACCOUNT OR FOR THE ACCOUNT OF A QUALIFIED INSTITUTIONAL BUYER </w:t>
      </w:r>
      <w:r>
        <w:rPr>
          <w:b/>
          <w:u w:val="double"/>
        </w:rPr>
        <w:t>AND</w:t>
      </w:r>
      <w:r>
        <w:rPr>
          <w:b/>
        </w:rPr>
        <w:t xml:space="preserve"> TO WHOM NOTICE IS GIVEN THAT THE TRANSFER IS BEING MADE IN RELIANCE ON RULE 144A, (D) PURSUANT TO OFFERS AND SALES TO NON-US PERSONS THAT OCCUR OUTSIDE THE UNITED STATES WITHIN THE MEANING OF REGULATION S UNDER THE SECURITIES ACT OR (E) PURSUANT TO ANOTHER AVAILABLE EXEMPTION FROM THE REGISTRATION REQUIREMENTS OF THE SECURITIES ACT, SUBJECT TO THE RIGHT OF THE TRUST, </w:t>
      </w:r>
      <w:r>
        <w:rPr>
          <w:b/>
          <w:strike/>
        </w:rPr>
        <w:t>ENRON</w:t>
      </w:r>
      <w:r>
        <w:rPr>
          <w:b/>
        </w:rPr>
        <w:t xml:space="preserve"> </w:t>
      </w:r>
      <w:r>
        <w:rPr>
          <w:b/>
          <w:u w:val="double"/>
        </w:rPr>
        <w:t>THE COMPANY</w:t>
      </w:r>
      <w:r>
        <w:rPr>
          <w:b/>
        </w:rPr>
        <w:t xml:space="preserve"> AND THE TRUSTEE PRIOR TO SUCH OFFER, SALE OR TRANSFER (i) PURSUANT TO CLAUSE (D) OR (E) ABOVE TO REQUIRE THE DELIVERY OF AN OPINION OF COUNSEL, CERTIFICATIONS OR OTHER INFORMATION SATISFACTORY TO EACH OF THEM AND (ii) IN EACH OF THE FOREGOING CASES, TO REQUIRE THAT A CERTIFICATE AS TO COMPLIANCE WITH CERTAIN CONDITIONS TO TRANSFER IS COMPLETED AND DELIVERED BY THE TRANSFEROR TO THE TRUSTEE.    THIS LEGEND WILL BE REMOVED UPON THE REQUEST OF A HOLDER AFTER THE RESALE RESTRICTION TERMINATION DATE OR SUCH EARLIER TIME AS DETERMINED BY THE TRUST</w:t>
      </w:r>
      <w:r>
        <w:rPr>
          <w:b/>
          <w:u w:val="double"/>
        </w:rPr>
        <w:t>,</w:t>
      </w:r>
      <w:r>
        <w:rPr>
          <w:b/>
        </w:rPr>
        <w:t xml:space="preserve"> IN ACCORDANCE WITH APPLICABLE LAW.</w:t>
      </w:r>
    </w:p>
    <w:p>
      <w:pPr>
        <w:pStyle w:val="Heading1"/>
        <w:widowControl/>
        <w:numPr>
          <w:ilvl w:val="0"/>
          <w:numId w:val="0"/>
        </w:numPr>
        <w:bidi w:val="0"/>
        <w:outlineLvl w:val="0"/>
        <w:rPr>
          <w:rFonts w:ascii="Times New Roman" w:hAnsi="Times New Roman"/>
        </w:rPr>
      </w:pPr>
      <w:r>
        <w:rPr>
          <w:caps/>
          <w:u w:val="none"/>
        </w:rPr>
        <w:t xml:space="preserve">Article VI </w:t>
      </w:r>
      <w:r>
        <w:rPr/>
        <w:br/>
        <w:br/>
      </w:r>
      <w:bookmarkStart w:id="27" w:name="_Toc484274593"/>
      <w:r>
        <w:rPr/>
        <w:t>The Certificates</w:t>
      </w:r>
      <w:bookmarkEnd w:id="27"/>
    </w:p>
    <w:p>
      <w:pPr>
        <w:pStyle w:val="Heading2"/>
        <w:widowControl/>
        <w:numPr>
          <w:ilvl w:val="0"/>
          <w:numId w:val="0"/>
        </w:numPr>
        <w:bidi w:val="0"/>
        <w:ind w:firstLine="720"/>
        <w:jc w:val="both"/>
        <w:outlineLvl w:val="1"/>
        <w:rPr>
          <w:rFonts w:ascii="Times New Roman" w:hAnsi="Times New Roman"/>
          <w:vanish/>
        </w:rPr>
      </w:pPr>
      <w:r>
        <w:rPr>
          <w:caps/>
          <w:u w:val="none"/>
        </w:rPr>
        <w:t>Section 6.1  </w:t>
        <w:tab/>
      </w:r>
      <w:bookmarkStart w:id="28" w:name="_Toc484274594"/>
      <w:r>
        <w:rPr/>
        <w:t>Designation; Certificate Principal Amount and Denominations</w:t>
      </w:r>
      <w:r>
        <w:rPr>
          <w:u w:val="none"/>
        </w:rPr>
        <w:t>.</w:t>
      </w:r>
      <w:bookmarkEnd w:id="28"/>
      <w:r>
        <w:rPr>
          <w:u w:val="none"/>
        </w:rPr>
        <w:t xml:space="preserve"> </w:t>
      </w:r>
    </w:p>
    <w:p>
      <w:pPr>
        <w:pStyle w:val="BodyText"/>
        <w:widowControl/>
        <w:bidi w:val="0"/>
        <w:jc w:val="both"/>
        <w:rPr>
          <w:rFonts w:ascii="Times New Roman" w:hAnsi="Times New Roman"/>
        </w:rPr>
      </w:pPr>
      <w:r>
        <w:rPr/>
        <w:t xml:space="preserve">There is hereby created a series of trust certificates to be issued pursuant to this Agreement to be known as “ ___% Pass-Through Asset Trust Securities Due </w:t>
      </w:r>
      <w:r>
        <w:rPr>
          <w:strike/>
        </w:rPr>
        <w:t>______.”</w:t>
      </w:r>
      <w:r>
        <w:rPr>
          <w:u w:val="double"/>
        </w:rPr>
        <w:t>June 15, 2003.”</w:t>
      </w:r>
      <w:r>
        <w:rPr/>
        <w:t xml:space="preserve"> The Certificates shall be issued in the form of one or more Global Securities as set forth in Section 6.8. Except as provided in Section 6.4, the maximum </w:t>
      </w:r>
      <w:r>
        <w:rPr>
          <w:u w:val="double"/>
        </w:rPr>
        <w:t>aggregate</w:t>
      </w:r>
      <w:r>
        <w:rPr/>
        <w:t xml:space="preserve"> Certificate Principal </w:t>
      </w:r>
      <w:r>
        <w:rPr>
          <w:strike/>
        </w:rPr>
        <w:t>Balance</w:t>
      </w:r>
      <w:r>
        <w:rPr/>
        <w:t xml:space="preserve"> </w:t>
      </w:r>
      <w:r>
        <w:rPr>
          <w:u w:val="double"/>
        </w:rPr>
        <w:t>Balances</w:t>
      </w:r>
      <w:r>
        <w:rPr/>
        <w:t xml:space="preserve"> that may be authenticated and delivered under this Agreement is $[350,000,000]. The Certificates are issuable in minimum denominations of $100,000 and in integral multiples of $1,000 in excess thereof.</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6.2  </w:t>
        <w:tab/>
      </w:r>
      <w:bookmarkStart w:id="29" w:name="_Toc484274595"/>
      <w:r>
        <w:rPr/>
        <w:t>Execution, Authentication and Delivery</w:t>
      </w:r>
      <w:r>
        <w:rPr>
          <w:u w:val="none"/>
        </w:rPr>
        <w:t>.</w:t>
      </w:r>
      <w:bookmarkEnd w:id="29"/>
    </w:p>
    <w:p>
      <w:pPr>
        <w:pStyle w:val="Heading3"/>
        <w:widowControl/>
        <w:numPr>
          <w:ilvl w:val="0"/>
          <w:numId w:val="0"/>
        </w:numPr>
        <w:bidi w:val="0"/>
        <w:ind w:firstLine="720"/>
        <w:jc w:val="both"/>
        <w:outlineLvl w:val="2"/>
        <w:rPr>
          <w:rFonts w:ascii="Times New Roman" w:hAnsi="Times New Roman"/>
        </w:rPr>
      </w:pPr>
      <w:r>
        <w:rPr/>
        <w:t>(a)  </w:t>
        <w:tab/>
        <w:t xml:space="preserve">The Certificates shall be executed by the Trustee, on behalf of the Trust. The </w:t>
      </w:r>
      <w:r>
        <w:rPr>
          <w:u w:val="double"/>
        </w:rPr>
        <w:t>Trustee’s</w:t>
      </w:r>
      <w:r>
        <w:rPr/>
        <w:t xml:space="preserve"> signature may be manual or facsimile. Certificates bearing the manual or facsimile signature of individuals who were at any time the proper officers of the Trustee shall be binding, notwithstanding that such individuals or any of them have ceased to hold such offices prior to the authentication and delivery of such Certificates or did not hold such offices at the date of such Certificates.</w:t>
      </w:r>
    </w:p>
    <w:p>
      <w:pPr>
        <w:pStyle w:val="Heading3"/>
        <w:widowControl/>
        <w:numPr>
          <w:ilvl w:val="0"/>
          <w:numId w:val="0"/>
        </w:numPr>
        <w:bidi w:val="0"/>
        <w:ind w:firstLine="720"/>
        <w:jc w:val="both"/>
        <w:outlineLvl w:val="2"/>
        <w:rPr>
          <w:rFonts w:ascii="Times New Roman" w:hAnsi="Times New Roman"/>
        </w:rPr>
      </w:pPr>
      <w:r>
        <w:rPr/>
        <w:t>(b)  </w:t>
        <w:tab/>
        <w:t>The Certificates that are executed, authenticated and delivered by the Trustee to or upon the Company Order on the Closing Date shall be dated the Closing Date. All other Certificates that are executed and authenticated after the Closing Date for any other purpose under the Agreement shall be dated the date of their authentication. Except as provided in Section 6.4, the Certificates shall all be originally issued on the Closing Date.</w:t>
      </w:r>
    </w:p>
    <w:p>
      <w:pPr>
        <w:pStyle w:val="Heading3"/>
        <w:widowControl/>
        <w:numPr>
          <w:ilvl w:val="0"/>
          <w:numId w:val="0"/>
        </w:numPr>
        <w:bidi w:val="0"/>
        <w:ind w:firstLine="720"/>
        <w:jc w:val="both"/>
        <w:outlineLvl w:val="2"/>
        <w:rPr>
          <w:rFonts w:ascii="Times New Roman" w:hAnsi="Times New Roman"/>
        </w:rPr>
      </w:pPr>
      <w:r>
        <w:rPr/>
        <w:t>(c)  </w:t>
        <w:tab/>
        <w:t>No Certificate shall be entitled to any benefit under this Agreement or be valid or obligatory for any purpose, unless there appears on such Certificate a certificate of authentication substantially in one of the forms provided for herein executed by the Trustee by the manual signature of one of its authorized signatories, and such certificate upon any Certificate shall be conclusive evidence, and the only evidence, that such Certificate has been duly authenticated and delivered hereunder and is entitled to the benefits of this Agreement.</w:t>
      </w:r>
    </w:p>
    <w:p>
      <w:pPr>
        <w:pStyle w:val="Heading2"/>
        <w:widowControl/>
        <w:numPr>
          <w:ilvl w:val="0"/>
          <w:numId w:val="0"/>
        </w:numPr>
        <w:bidi w:val="0"/>
        <w:ind w:firstLine="720"/>
        <w:jc w:val="both"/>
        <w:outlineLvl w:val="1"/>
        <w:rPr>
          <w:rFonts w:ascii="Times New Roman" w:hAnsi="Times New Roman"/>
        </w:rPr>
      </w:pPr>
      <w:r>
        <w:rPr>
          <w:caps/>
          <w:u w:val="none"/>
        </w:rPr>
        <w:t>Section 6.3  </w:t>
        <w:tab/>
      </w:r>
      <w:bookmarkStart w:id="30" w:name="_Toc484274596"/>
      <w:r>
        <w:rPr/>
        <w:t>Registration; Registration of Transfer and Exchange</w:t>
      </w:r>
      <w:r>
        <w:rPr>
          <w:u w:val="none"/>
        </w:rPr>
        <w:t>.</w:t>
      </w:r>
      <w:bookmarkEnd w:id="30"/>
    </w:p>
    <w:p>
      <w:pPr>
        <w:pStyle w:val="Heading3"/>
        <w:widowControl/>
        <w:numPr>
          <w:ilvl w:val="0"/>
          <w:numId w:val="0"/>
        </w:numPr>
        <w:bidi w:val="0"/>
        <w:ind w:firstLine="720"/>
        <w:jc w:val="both"/>
        <w:outlineLvl w:val="2"/>
        <w:rPr>
          <w:rFonts w:ascii="Times New Roman" w:hAnsi="Times New Roman"/>
        </w:rPr>
      </w:pPr>
      <w:r>
        <w:rPr/>
        <w:t>(a)  </w:t>
        <w:tab/>
        <w:t xml:space="preserve">The Trustee shall cause to be kept in the Corporate Trust Office a register for Certificates (the registers maintained in such office and in any other office or agency of the Trustee in New York, New York being herein sometimes collectively referred to as the “Certificate Register”) in which a transfer agent and registrar (which may be the Trustee) (the “Certificate Registrar”) shall provide for the registration of the Certificates and the registration of transfers and exchanges of the Certificates. The Trustee is hereby initially appointed Certificate Registrar for the purpose of registering the Certificates and transfers and exchanges of Certificates as herein provided; </w:t>
      </w:r>
      <w:r>
        <w:rPr>
          <w:i/>
        </w:rPr>
        <w:t>provided, however</w:t>
      </w:r>
      <w:r>
        <w:rPr/>
        <w:t xml:space="preserve">, that the Trustee may appoint one or more co-Certificate Registrars. Upon any resignation of </w:t>
      </w:r>
      <w:r>
        <w:rPr>
          <w:strike/>
        </w:rPr>
        <w:t>any</w:t>
      </w:r>
      <w:r>
        <w:rPr/>
        <w:t xml:space="preserve"> </w:t>
      </w:r>
      <w:r>
        <w:rPr>
          <w:u w:val="double"/>
        </w:rPr>
        <w:t>the</w:t>
      </w:r>
      <w:r>
        <w:rPr/>
        <w:t xml:space="preserve"> Certificate Registrar, the Company shall promptly appoint a successor or, in the absence of such appointment, arrange for an Affiliate of the Company to assume the duties of Certificate Registrar.</w:t>
      </w:r>
    </w:p>
    <w:p>
      <w:pPr>
        <w:pStyle w:val="Heading3"/>
        <w:widowControl/>
        <w:numPr>
          <w:ilvl w:val="0"/>
          <w:numId w:val="0"/>
        </w:numPr>
        <w:bidi w:val="0"/>
        <w:ind w:firstLine="720"/>
        <w:jc w:val="both"/>
        <w:outlineLvl w:val="2"/>
        <w:rPr>
          <w:rFonts w:ascii="Times New Roman" w:hAnsi="Times New Roman"/>
        </w:rPr>
      </w:pPr>
      <w:r>
        <w:rPr/>
        <w:t>(b)  </w:t>
        <w:tab/>
        <w:t xml:space="preserve">If a Person other than the Trustee is appointed by the Company as Certificate Registrar, the Company will give the Trustee prompt written notice of the appointment of </w:t>
      </w:r>
      <w:r>
        <w:rPr>
          <w:strike/>
        </w:rPr>
        <w:t>a</w:t>
      </w:r>
      <w:r>
        <w:rPr/>
        <w:t xml:space="preserve"> </w:t>
      </w:r>
      <w:r>
        <w:rPr>
          <w:u w:val="double"/>
        </w:rPr>
        <w:t>such</w:t>
      </w:r>
      <w:r>
        <w:rPr/>
        <w:t xml:space="preserve"> Certificate Registrar and of the location, and any change in the location, of the Certificate Register, and the Trustee shall have the right to rely upon a certificate executed on behalf of </w:t>
      </w:r>
      <w:r>
        <w:rPr>
          <w:strike/>
        </w:rPr>
        <w:t>the</w:t>
      </w:r>
      <w:r>
        <w:rPr/>
        <w:t xml:space="preserve"> </w:t>
      </w:r>
      <w:r>
        <w:rPr>
          <w:u w:val="double"/>
        </w:rPr>
        <w:t>such</w:t>
      </w:r>
      <w:r>
        <w:rPr/>
        <w:t xml:space="preserve"> Certificate Registrar by an Executive Officer thereof as to the names and addresses of the Holders of the Certificates and the principal amounts and numbers of such Certificates.</w:t>
      </w:r>
    </w:p>
    <w:p>
      <w:pPr>
        <w:pStyle w:val="Heading3"/>
        <w:widowControl/>
        <w:numPr>
          <w:ilvl w:val="0"/>
          <w:numId w:val="0"/>
        </w:numPr>
        <w:bidi w:val="0"/>
        <w:ind w:firstLine="720"/>
        <w:jc w:val="both"/>
        <w:outlineLvl w:val="2"/>
        <w:rPr>
          <w:rFonts w:ascii="Times New Roman" w:hAnsi="Times New Roman"/>
        </w:rPr>
      </w:pPr>
      <w:r>
        <w:rPr/>
        <w:t>(c)  </w:t>
        <w:tab/>
        <w:t xml:space="preserve">Every Certificate presented or surrendered for registration of transfer or exchange shall (if so required by the Company, the Trustee or the Certificate Registrar) be duly endorsed, or be accompanied by a written instrument of transfer in form satisfactory to the Company, the Trustee and the Certificate Registrar, duly executed, by the Holder thereof or his attorney duly authorized in writing, with such signature guaranteed by a brokerage firm or financial institution that is a member of a Securities Approved Medallion </w:t>
      </w:r>
      <w:r>
        <w:rPr>
          <w:strike/>
        </w:rPr>
        <w:t>Programs</w:t>
      </w:r>
      <w:r>
        <w:rPr/>
        <w:t xml:space="preserve"> </w:t>
      </w:r>
      <w:r>
        <w:rPr>
          <w:u w:val="double"/>
        </w:rPr>
        <w:t>Program,</w:t>
      </w:r>
      <w:r>
        <w:rPr/>
        <w:t xml:space="preserve"> such as the Securities Transfer Agents Medallion Program (STAMP), the Stock Exchange Medallion Program (SEMP) or the New York Stock Exchange Inc. Medallion Signature Program (MSP).</w:t>
      </w:r>
    </w:p>
    <w:p>
      <w:pPr>
        <w:pStyle w:val="Heading3"/>
        <w:widowControl/>
        <w:numPr>
          <w:ilvl w:val="0"/>
          <w:numId w:val="0"/>
        </w:numPr>
        <w:bidi w:val="0"/>
        <w:ind w:firstLine="720"/>
        <w:jc w:val="both"/>
        <w:outlineLvl w:val="2"/>
        <w:rPr>
          <w:rFonts w:ascii="Times New Roman" w:hAnsi="Times New Roman"/>
        </w:rPr>
      </w:pPr>
      <w:r>
        <w:rPr/>
        <w:t>(d)  </w:t>
        <w:tab/>
        <w:t>Upon surrender for registration of transfer of any Certificate at the office or agency of the Trustee and subject to Section 4.5 and Article V, if the requirements of Section 8-401(a) of the Uniform Commercial Code are met to the satisfaction of the Company, the Trustee shall execute, and the Trustee shall authenticate and deliver, in the name of the designated transferee or transferees, one or more new Certificates of any authorized denominations, of a like aggregate Certificate Principal Balance.</w:t>
      </w:r>
    </w:p>
    <w:p>
      <w:pPr>
        <w:pStyle w:val="Heading3"/>
        <w:widowControl/>
        <w:numPr>
          <w:ilvl w:val="0"/>
          <w:numId w:val="0"/>
        </w:numPr>
        <w:bidi w:val="0"/>
        <w:ind w:firstLine="720"/>
        <w:jc w:val="both"/>
        <w:outlineLvl w:val="2"/>
        <w:rPr>
          <w:rFonts w:ascii="Times New Roman" w:hAnsi="Times New Roman"/>
        </w:rPr>
      </w:pPr>
      <w:r>
        <w:rPr/>
        <w:t>(e)  </w:t>
        <w:tab/>
        <w:t>At the option of the Holder, Certificates (other than the Global Securities) may be exchanged for other Certificates of any authorized denomination or denominations of like tenor and aggregate Certificate Principal Balance and bearing the applicable legends set forth in Section 5.2(c) upon surrender of the Certificates to be exchanged at the office or agency of the Trustee maintained for such purpose.</w:t>
      </w:r>
    </w:p>
    <w:p>
      <w:pPr>
        <w:pStyle w:val="Heading3"/>
        <w:widowControl/>
        <w:numPr>
          <w:ilvl w:val="0"/>
          <w:numId w:val="0"/>
        </w:numPr>
        <w:bidi w:val="0"/>
        <w:ind w:firstLine="720"/>
        <w:jc w:val="both"/>
        <w:outlineLvl w:val="2"/>
        <w:rPr>
          <w:rFonts w:ascii="Times New Roman" w:hAnsi="Times New Roman"/>
        </w:rPr>
      </w:pPr>
      <w:r>
        <w:rPr/>
        <w:t>(f)  </w:t>
        <w:tab/>
        <w:t>Whenever any Certificates are so surrendered for exchange, the Trust shall execute, authenticate and deliver the Certificates that the Holder making the exchange is entitled to receive.</w:t>
      </w:r>
    </w:p>
    <w:p>
      <w:pPr>
        <w:pStyle w:val="Heading3"/>
        <w:widowControl/>
        <w:numPr>
          <w:ilvl w:val="0"/>
          <w:numId w:val="0"/>
        </w:numPr>
        <w:bidi w:val="0"/>
        <w:ind w:firstLine="720"/>
        <w:jc w:val="both"/>
        <w:outlineLvl w:val="2"/>
        <w:rPr>
          <w:rFonts w:ascii="Times New Roman" w:hAnsi="Times New Roman"/>
        </w:rPr>
      </w:pPr>
      <w:r>
        <w:rPr/>
        <w:t>(g)  </w:t>
        <w:tab/>
        <w:t>If at any time the Depository for the Certificates notifies the Company that it is unwilling or unable to continue as Depository for the Certificates or if at any time the Depository for the Certificates shall no longer be eligible under Section 6.8(b), the Company shall appoint a successor Depository with respect to the Certificates. If a successor Depository for the Certificates is not appointed by the Company within 120 days after the Company receives such notice or becomes aware of such ineligibility, the Trustee will execute, and the Trustee, upon receipt of a Company Order for the authentication and delivery of Definitive Certificates, will authenticate and deliver Definitive Certificates in an aggregate Certificate Principal Balance equal to the aggregate Certificate Principal Balance of the Global Security or Securities representing Certificates in exchange for such Global Security or Securities.</w:t>
      </w:r>
    </w:p>
    <w:p>
      <w:pPr>
        <w:pStyle w:val="Heading3"/>
        <w:widowControl/>
        <w:numPr>
          <w:ilvl w:val="0"/>
          <w:numId w:val="0"/>
        </w:numPr>
        <w:bidi w:val="0"/>
        <w:ind w:firstLine="720"/>
        <w:jc w:val="both"/>
        <w:outlineLvl w:val="2"/>
        <w:rPr>
          <w:rFonts w:ascii="Times New Roman" w:hAnsi="Times New Roman"/>
        </w:rPr>
      </w:pPr>
      <w:r>
        <w:rPr/>
        <w:t>(h)  </w:t>
        <w:tab/>
        <w:t xml:space="preserve">Upon surrender to the Trustee of a Global Security by the Depository, accompanied by registration instructions, the Trustee shall execute and the Trustee shall authenticate the Definitive Certificates in accordance with the instructions of the Depository. None of the Company, the Certificate Registrar or the Trustee shall be liable for any delay in delivery of the Company Order </w:t>
      </w:r>
      <w:r>
        <w:rPr>
          <w:strike/>
        </w:rPr>
        <w:t xml:space="preserve">and </w:t>
      </w:r>
      <w:r>
        <w:rPr>
          <w:u w:val="double"/>
        </w:rPr>
        <w:t>, and the Trustee and the Certificate Registrar</w:t>
      </w:r>
      <w:r>
        <w:rPr/>
        <w:t xml:space="preserve"> may conclusively rely on, and shall be protected in relying on, the Company Order. Upon the issuance of Definitive Certificates, the Trustee shall recognize the holders of the Definitive Certificates as Holders.</w:t>
      </w:r>
    </w:p>
    <w:p>
      <w:pPr>
        <w:pStyle w:val="Heading3"/>
        <w:widowControl/>
        <w:numPr>
          <w:ilvl w:val="0"/>
          <w:numId w:val="0"/>
        </w:numPr>
        <w:bidi w:val="0"/>
        <w:ind w:firstLine="720"/>
        <w:jc w:val="both"/>
        <w:outlineLvl w:val="2"/>
        <w:rPr>
          <w:rFonts w:ascii="Times New Roman" w:hAnsi="Times New Roman"/>
        </w:rPr>
      </w:pPr>
      <w:r>
        <w:rPr/>
        <w:t>(i)  </w:t>
        <w:tab/>
        <w:t>Upon the exchange of a Global Security for Definitive Certificates, such Global Security shall be cancelled by the Trustee. Definitive Certificates issued in exchange for a Global Security pursuant to this Section 6.3 shall be registered in such names and in such authorized denominations as the Depository for such Global Security, pursuant to instructions from its Participants, any indirect participants or otherwise, shall instruct the Trustee. The Trustee shall deliver such Certificates to the Persons in whose names such Certificates are so registered.</w:t>
      </w:r>
    </w:p>
    <w:p>
      <w:pPr>
        <w:pStyle w:val="Heading3"/>
        <w:widowControl/>
        <w:numPr>
          <w:ilvl w:val="0"/>
          <w:numId w:val="0"/>
        </w:numPr>
        <w:bidi w:val="0"/>
        <w:ind w:firstLine="720"/>
        <w:jc w:val="both"/>
        <w:outlineLvl w:val="2"/>
        <w:rPr>
          <w:rFonts w:ascii="Times New Roman" w:hAnsi="Times New Roman"/>
        </w:rPr>
      </w:pPr>
      <w:r>
        <w:rPr/>
        <w:t>(j)  </w:t>
        <w:tab/>
        <w:t>All Certificates issued upon any registration of transfer or exchange of Certificates shall constitute complete and indefeasible evidence of ownership in the Trust related to such Certificates and be entitled to the same benefits under this Agreement as the Certificates surrendered upon such registration of transfer or exchange.</w:t>
      </w:r>
    </w:p>
    <w:p>
      <w:pPr>
        <w:pStyle w:val="Heading3"/>
        <w:widowControl/>
        <w:numPr>
          <w:ilvl w:val="0"/>
          <w:numId w:val="0"/>
        </w:numPr>
        <w:bidi w:val="0"/>
        <w:ind w:firstLine="720"/>
        <w:jc w:val="both"/>
        <w:outlineLvl w:val="2"/>
        <w:rPr>
          <w:rFonts w:ascii="Times New Roman" w:hAnsi="Times New Roman"/>
        </w:rPr>
      </w:pPr>
      <w:r>
        <w:rPr/>
        <w:t>(k)  </w:t>
        <w:tab/>
        <w:t>No service charge shall be made to a Holder for any registration of transfer or exchange of Certificates, but the Company may require payment of a sum sufficient to cover any tax or other governmental charge that may be imposed in connection with any registration of transfer or exchange of Certificates, other than exchanges pursuant to Section 6.3 not involving any transfer.</w:t>
      </w:r>
    </w:p>
    <w:p>
      <w:pPr>
        <w:pStyle w:val="Heading2"/>
        <w:widowControl/>
        <w:numPr>
          <w:ilvl w:val="0"/>
          <w:numId w:val="0"/>
        </w:numPr>
        <w:bidi w:val="0"/>
        <w:ind w:firstLine="720"/>
        <w:jc w:val="both"/>
        <w:outlineLvl w:val="1"/>
        <w:rPr>
          <w:rFonts w:ascii="Times New Roman" w:hAnsi="Times New Roman"/>
        </w:rPr>
      </w:pPr>
      <w:r>
        <w:rPr>
          <w:caps/>
          <w:u w:val="none"/>
        </w:rPr>
        <w:t>Section 6.4  </w:t>
        <w:tab/>
      </w:r>
      <w:bookmarkStart w:id="31" w:name="_Toc484274597"/>
      <w:r>
        <w:rPr/>
        <w:t>Mutilated, Destroyed, Lost or Stolen Certificates</w:t>
      </w:r>
      <w:r>
        <w:rPr>
          <w:u w:val="none"/>
        </w:rPr>
        <w:t>.</w:t>
      </w:r>
      <w:bookmarkEnd w:id="31"/>
    </w:p>
    <w:p>
      <w:pPr>
        <w:pStyle w:val="Heading3"/>
        <w:widowControl/>
        <w:numPr>
          <w:ilvl w:val="0"/>
          <w:numId w:val="0"/>
        </w:numPr>
        <w:bidi w:val="0"/>
        <w:ind w:firstLine="720"/>
        <w:jc w:val="both"/>
        <w:outlineLvl w:val="2"/>
        <w:rPr>
          <w:rFonts w:ascii="Times New Roman" w:hAnsi="Times New Roman"/>
        </w:rPr>
      </w:pPr>
      <w:r>
        <w:rPr/>
        <w:t>(a)  </w:t>
        <w:tab/>
        <w:t>If (i) any mutilated Certificate is presented to the Trustee or (ii) the Company and the Trustee receive (A) evidence to their satisfaction of the mutilation, destruction, loss or theft of any Certificate and (B) such security or indemnity as they may require to hold each of them and any Paying Agent harmless, and neither the Company, nor the Trustee receives notice that such Certificate has been acquired by a bona fide purchaser, then the Trustee shall execute and the Trustee, upon receipt of a Company Order, shall authenticate and deliver, in exchange for or in lieu of any such mutilated, destroyed, lost or stolen Certificate a new Certificate of like tenor, form, terms and principal amount, bearing a number not contemporaneously Outstanding.</w:t>
      </w:r>
    </w:p>
    <w:p>
      <w:pPr>
        <w:pStyle w:val="Heading3"/>
        <w:widowControl/>
        <w:numPr>
          <w:ilvl w:val="0"/>
          <w:numId w:val="0"/>
        </w:numPr>
        <w:bidi w:val="0"/>
        <w:ind w:firstLine="720"/>
        <w:jc w:val="both"/>
        <w:outlineLvl w:val="2"/>
        <w:rPr>
          <w:rFonts w:ascii="Times New Roman" w:hAnsi="Times New Roman"/>
        </w:rPr>
      </w:pPr>
      <w:r>
        <w:rPr/>
        <w:t>(b)  </w:t>
        <w:tab/>
        <w:t>If after the delivery of a replacement Certificate in respect of a mutilated, destroyed, lost or stolen Certificate, a bona fide purchaser of the original Certificate in lieu of which such replacement Certificate was issued presents for payment such original Certificate, the Trustee shall be entitled to recover such replacement Certificate (or such distribution in respect of that Certificate) from the Person to whom it was delivered or any Person taking such replacement Certificate from such Person to whom such replacement Certificate was delivered or any assignee of such Person, except a bona fide purchaser, and shall be entitled to recover upon any security or indemnity provided therefor to the extent of any loss, damage, cost or expense incurred by the Trustee in connection therewith.</w:t>
      </w:r>
    </w:p>
    <w:p>
      <w:pPr>
        <w:pStyle w:val="Heading3"/>
        <w:widowControl/>
        <w:numPr>
          <w:ilvl w:val="0"/>
          <w:numId w:val="0"/>
        </w:numPr>
        <w:bidi w:val="0"/>
        <w:ind w:firstLine="720"/>
        <w:jc w:val="both"/>
        <w:outlineLvl w:val="2"/>
        <w:rPr>
          <w:rFonts w:ascii="Times New Roman" w:hAnsi="Times New Roman"/>
        </w:rPr>
      </w:pPr>
      <w:r>
        <w:rPr/>
        <w:t>(c)  </w:t>
        <w:tab/>
        <w:t>Upon the issuance of any new Certificate under this Section 6.4, the Company may require the payment of a sum sufficient to cover any tax or other governmental charge that may be imposed in respect thereto and any other expenses (including the fees and expenses of the Trustee) connected therewith.</w:t>
      </w:r>
    </w:p>
    <w:p>
      <w:pPr>
        <w:pStyle w:val="Heading3"/>
        <w:widowControl/>
        <w:numPr>
          <w:ilvl w:val="0"/>
          <w:numId w:val="0"/>
        </w:numPr>
        <w:bidi w:val="0"/>
        <w:ind w:firstLine="720"/>
        <w:jc w:val="both"/>
        <w:outlineLvl w:val="2"/>
        <w:rPr>
          <w:rFonts w:ascii="Times New Roman" w:hAnsi="Times New Roman"/>
        </w:rPr>
      </w:pPr>
      <w:r>
        <w:rPr/>
        <w:t>(d)  </w:t>
        <w:tab/>
        <w:t>Every new Certificate issued pursuant to this Section 6.4 shall constitute complete and indefeasible evidence of ownership in the Trust, its income and assets</w:t>
      </w:r>
      <w:r>
        <w:rPr>
          <w:u w:val="double"/>
        </w:rPr>
        <w:t>,</w:t>
      </w:r>
      <w:r>
        <w:rPr/>
        <w:t xml:space="preserve"> whether or not the mutilated, destroyed, lost or stolen Certificate shall be at any time enforceable by anyone, and shall be entitled to all the benefits of this Agreement equally and proportionately with any and all other Certificates duly issued hereunder.</w:t>
      </w:r>
    </w:p>
    <w:p>
      <w:pPr>
        <w:pStyle w:val="Heading3"/>
        <w:widowControl/>
        <w:numPr>
          <w:ilvl w:val="0"/>
          <w:numId w:val="0"/>
        </w:numPr>
        <w:bidi w:val="0"/>
        <w:ind w:firstLine="720"/>
        <w:jc w:val="both"/>
        <w:outlineLvl w:val="2"/>
        <w:rPr>
          <w:rFonts w:ascii="Times New Roman" w:hAnsi="Times New Roman"/>
        </w:rPr>
      </w:pPr>
      <w:r>
        <w:rPr/>
        <w:t>(e)  </w:t>
        <w:tab/>
        <w:t>The provisions of this Section 6.4 are exclusive and shall preclude (to the extent lawful) all other rights and remedies with respect to the replacement or payment of mutilated, destroyed, lost or stolen Certificates.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6.5  </w:t>
        <w:tab/>
      </w:r>
      <w:bookmarkStart w:id="32" w:name="_Toc484274598"/>
      <w:r>
        <w:rPr/>
        <w:t>Distribution of Available Funds</w:t>
      </w:r>
      <w:r>
        <w:rPr>
          <w:u w:val="none"/>
        </w:rPr>
        <w:t>.</w:t>
      </w:r>
      <w:bookmarkEnd w:id="32"/>
    </w:p>
    <w:p>
      <w:pPr>
        <w:pStyle w:val="Heading3"/>
        <w:widowControl/>
        <w:numPr>
          <w:ilvl w:val="0"/>
          <w:numId w:val="0"/>
        </w:numPr>
        <w:bidi w:val="0"/>
        <w:ind w:firstLine="720"/>
        <w:jc w:val="both"/>
        <w:outlineLvl w:val="2"/>
        <w:rPr>
          <w:rFonts w:ascii="Times New Roman" w:hAnsi="Times New Roman"/>
        </w:rPr>
      </w:pPr>
      <w:r>
        <w:rPr/>
        <w:t>(a)  </w:t>
        <w:tab/>
        <w:t>Available Funds to be distributed to the Holder of any Certificate that are payable and are punctually paid or duly provided for on any Distribution Date shall be distributed to the Person in whose name such Certificate (or one or more Predecessor Certificates) is registered at the close of business on the related Record Date notwithstanding the cancellation of such Certificate upon any transfer or exchange subsequent to such related Record Date. The distribution of Available Funds to Certificateholders shall be made at the Corporate Trust Office or, at the option of the Trustee, by check mailed to the address of the Person entitled thereto as such address shall appear in the Certificate Register or by wire transfer to an account designated by the Holder.</w:t>
      </w:r>
    </w:p>
    <w:p>
      <w:pPr>
        <w:pStyle w:val="Heading3"/>
        <w:widowControl/>
        <w:numPr>
          <w:ilvl w:val="0"/>
          <w:numId w:val="0"/>
        </w:numPr>
        <w:bidi w:val="0"/>
        <w:ind w:firstLine="720"/>
        <w:jc w:val="both"/>
        <w:outlineLvl w:val="2"/>
        <w:rPr>
          <w:rFonts w:ascii="Times New Roman" w:hAnsi="Times New Roman"/>
        </w:rPr>
      </w:pPr>
      <w:r>
        <w:rPr/>
        <w:t>(b)  </w:t>
        <w:tab/>
        <w:t>Subject to the foregoing provisions of this Section 6.5, each Certificate delivered under this Agreement upon transfer of or in exchange for or in lieu of any other Certificate shall carry the rights to receive distributions of Available Funds that were carried by such other Certificate.</w:t>
      </w:r>
    </w:p>
    <w:p>
      <w:pPr>
        <w:pStyle w:val="Heading3"/>
        <w:widowControl/>
        <w:numPr>
          <w:ilvl w:val="0"/>
          <w:numId w:val="0"/>
        </w:numPr>
        <w:bidi w:val="0"/>
        <w:ind w:firstLine="720"/>
        <w:jc w:val="both"/>
        <w:outlineLvl w:val="2"/>
        <w:rPr>
          <w:rFonts w:ascii="Times New Roman" w:hAnsi="Times New Roman"/>
        </w:rPr>
      </w:pPr>
      <w:r>
        <w:rPr/>
        <w:t>(c)  </w:t>
        <w:tab/>
        <w:t>With respect to any computations or calculations to be made under this Agreement and the Certificates, except as otherwise provided, (i) all percentages resulting from any calculation of accrued interest will be rounded, if necessary, to the nearest 1/100,000 of 1% (.0000001), with five one-millionths of a percentage point rounded downward, and (ii) all currency amounts will be rounded to the nearest one-hundredth of a unit (with .005 of a unit being rounded downward).</w:t>
      </w:r>
    </w:p>
    <w:p>
      <w:pPr>
        <w:pStyle w:val="Heading2"/>
        <w:widowControl/>
        <w:numPr>
          <w:ilvl w:val="0"/>
          <w:numId w:val="0"/>
        </w:numPr>
        <w:bidi w:val="0"/>
        <w:ind w:firstLine="720"/>
        <w:jc w:val="both"/>
        <w:outlineLvl w:val="1"/>
        <w:rPr>
          <w:rFonts w:ascii="Times New Roman" w:hAnsi="Times New Roman"/>
        </w:rPr>
      </w:pPr>
      <w:r>
        <w:rPr>
          <w:caps/>
          <w:u w:val="none"/>
        </w:rPr>
        <w:t>Section 6.6  </w:t>
        <w:tab/>
      </w:r>
      <w:bookmarkStart w:id="33" w:name="_Toc484274599"/>
      <w:r>
        <w:rPr/>
        <w:t>Persons Deemed Owners</w:t>
      </w:r>
      <w:r>
        <w:rPr>
          <w:u w:val="none"/>
        </w:rPr>
        <w:t>.</w:t>
      </w:r>
      <w:bookmarkEnd w:id="33"/>
    </w:p>
    <w:p>
      <w:pPr>
        <w:pStyle w:val="Heading3"/>
        <w:widowControl/>
        <w:numPr>
          <w:ilvl w:val="0"/>
          <w:numId w:val="0"/>
        </w:numPr>
        <w:bidi w:val="0"/>
        <w:ind w:firstLine="720"/>
        <w:jc w:val="both"/>
        <w:outlineLvl w:val="2"/>
        <w:rPr>
          <w:rFonts w:ascii="Times New Roman" w:hAnsi="Times New Roman"/>
        </w:rPr>
      </w:pPr>
      <w:r>
        <w:rPr/>
        <w:t>(a)  </w:t>
        <w:tab/>
        <w:t>The Company, the Trustee</w:t>
      </w:r>
      <w:r>
        <w:rPr>
          <w:u w:val="double"/>
        </w:rPr>
        <w:t>, the Certificate Registrar, any Paying Agent</w:t>
      </w:r>
      <w:r>
        <w:rPr/>
        <w:t xml:space="preserve"> and any agent of the Company, </w:t>
      </w:r>
      <w:r>
        <w:rPr>
          <w:strike/>
        </w:rPr>
        <w:t xml:space="preserve">or the Trustee </w:t>
      </w:r>
      <w:r>
        <w:rPr>
          <w:u w:val="double"/>
        </w:rPr>
        <w:t>the Trustee, the Certificate Registrar or any Paying Agent</w:t>
      </w:r>
      <w:r>
        <w:rPr/>
        <w:t xml:space="preserve"> may treat the Person in whose name any Certificate is registered as the owner of such Certificate for the purpose of receiving distributions of Available Funds on such Certificate and for all other purposes whatsoever, whether or not such Certificate be overdue, and neither the Company </w:t>
      </w:r>
      <w:r>
        <w:rPr>
          <w:strike/>
        </w:rPr>
        <w:t xml:space="preserve">or the Trustee, nor any agent of, the Company or the Trustee </w:t>
      </w:r>
      <w:r>
        <w:rPr>
          <w:u w:val="double"/>
        </w:rPr>
        <w:t>, the Trustee, the Certificate Registrar, any Paying Agent nor any agent of the Company, the Trustee, the Certificate Registrar, or any Paying Agent</w:t>
      </w:r>
      <w:r>
        <w:rPr/>
        <w:t xml:space="preserve"> shall be affected by notice to the contrary. All distributions made to any Holder, or upon his order, shall be valid, and, to the extent of the sum or sums paid, effectual to satisfy and discharge the liability for moneys distributable upon such Certificate.</w:t>
      </w:r>
    </w:p>
    <w:p>
      <w:pPr>
        <w:pStyle w:val="Heading3"/>
        <w:widowControl/>
        <w:numPr>
          <w:ilvl w:val="0"/>
          <w:numId w:val="0"/>
        </w:numPr>
        <w:bidi w:val="0"/>
        <w:ind w:firstLine="720"/>
        <w:jc w:val="both"/>
        <w:outlineLvl w:val="2"/>
        <w:rPr>
          <w:rFonts w:ascii="Times New Roman" w:hAnsi="Times New Roman"/>
        </w:rPr>
      </w:pPr>
      <w:r>
        <w:rPr/>
        <w:t>(b)  </w:t>
        <w:tab/>
        <w:t>Neither the Company, the Certificate Registrar, the Trustee</w:t>
      </w:r>
      <w:r>
        <w:rPr>
          <w:u w:val="double"/>
        </w:rPr>
        <w:t>, any Paying Agent</w:t>
      </w:r>
      <w:r>
        <w:rPr/>
        <w:t>    nor any of their agents will have any responsibility or liability for any aspect of the records relating to or distributions made on account of beneficial ownership interests in a Global Security or for maintaining, supervising or reviewing any records relating to such beneficial ownership interests.</w:t>
      </w:r>
    </w:p>
    <w:p>
      <w:pPr>
        <w:pStyle w:val="Heading2"/>
        <w:widowControl/>
        <w:numPr>
          <w:ilvl w:val="0"/>
          <w:numId w:val="0"/>
        </w:numPr>
        <w:bidi w:val="0"/>
        <w:ind w:firstLine="720"/>
        <w:jc w:val="both"/>
        <w:outlineLvl w:val="1"/>
        <w:rPr>
          <w:rFonts w:ascii="Times New Roman" w:hAnsi="Times New Roman"/>
          <w:vanish/>
        </w:rPr>
      </w:pPr>
      <w:r>
        <w:rPr>
          <w:caps/>
          <w:u w:val="none"/>
        </w:rPr>
        <w:t>Section 6.7  </w:t>
        <w:tab/>
      </w:r>
      <w:bookmarkStart w:id="34" w:name="_Toc484274600"/>
      <w:r>
        <w:rPr/>
        <w:t>Cancellation</w:t>
      </w:r>
      <w:r>
        <w:rPr>
          <w:u w:val="none"/>
        </w:rPr>
        <w:t>.</w:t>
      </w:r>
      <w:bookmarkEnd w:id="34"/>
      <w:r>
        <w:rPr>
          <w:u w:val="none"/>
        </w:rPr>
        <w:t xml:space="preserve"> </w:t>
      </w:r>
    </w:p>
    <w:p>
      <w:pPr>
        <w:pStyle w:val="BodyText"/>
        <w:widowControl/>
        <w:bidi w:val="0"/>
        <w:jc w:val="both"/>
        <w:rPr>
          <w:rFonts w:ascii="Times New Roman" w:hAnsi="Times New Roman"/>
        </w:rPr>
      </w:pPr>
      <w:r>
        <w:rPr/>
        <w:t xml:space="preserve">All Certificates surrendered for payment, redemption, transfer or exchange shall, if surrendered to any Person other than the Trustee, be delivered to the Trustee and shall be promptly cancelled by it. No Certificates shall be authenticated in lieu of or in exchange for any Certificates cancelled as provided in this Section 6.7, except as expressly permitted by this Agreement. All cancelled Certificates may be held or disposed of by the Trustee in accordance with its standard retention or disposal policy as in effect at the time unless the Company shall direct by Company Order that they be returned to it; </w:t>
      </w:r>
      <w:r>
        <w:rPr>
          <w:i/>
        </w:rPr>
        <w:t>provided, however</w:t>
      </w:r>
      <w:r>
        <w:rPr/>
        <w:t>, that such Company Order is timely and the Certificates have not been previously disposed of by the Trustee. The Trustee shall certify to the Company that surrendered Certificates have been duly cancelled and retained or destroyed, as the case may be.</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6.8  </w:t>
        <w:tab/>
      </w:r>
      <w:bookmarkStart w:id="35" w:name="_Toc484274601"/>
      <w:r>
        <w:rPr/>
        <w:t>Global Securities</w:t>
      </w:r>
      <w:r>
        <w:rPr>
          <w:u w:val="none"/>
        </w:rPr>
        <w:t>.</w:t>
      </w:r>
      <w:bookmarkEnd w:id="35"/>
    </w:p>
    <w:p>
      <w:pPr>
        <w:pStyle w:val="Heading3"/>
        <w:widowControl/>
        <w:numPr>
          <w:ilvl w:val="0"/>
          <w:numId w:val="0"/>
        </w:numPr>
        <w:bidi w:val="0"/>
        <w:ind w:firstLine="720"/>
        <w:jc w:val="both"/>
        <w:outlineLvl w:val="2"/>
        <w:rPr>
          <w:rFonts w:ascii="Times New Roman" w:hAnsi="Times New Roman"/>
        </w:rPr>
      </w:pPr>
      <w:r>
        <w:rPr/>
        <w:t>(a)  </w:t>
        <w:tab/>
        <w:t>The Certificates shall be registered Certificates and will be represented by one or more Global Securities issued in accordance with this Section 6.8 and Article V and initially registered in the name of Cede &amp; Co., as nominee of The Depository Trust Company. The Trustee shall execute</w:t>
      </w:r>
      <w:r>
        <w:rPr>
          <w:u w:val="double"/>
        </w:rPr>
        <w:t>,</w:t>
      </w:r>
      <w:r>
        <w:rPr/>
        <w:t xml:space="preserve"> and the Trustee shall authenticate and deliver</w:t>
      </w:r>
      <w:r>
        <w:rPr>
          <w:u w:val="double"/>
        </w:rPr>
        <w:t>,</w:t>
      </w:r>
      <w:r>
        <w:rPr/>
        <w:t xml:space="preserve"> one or more Global Securities that (i) shall represent an aggregate initial Certificate Principal Balance equal to the </w:t>
      </w:r>
      <w:r>
        <w:rPr>
          <w:strike/>
        </w:rPr>
        <w:t>aggregate initial</w:t>
      </w:r>
      <w:r>
        <w:rPr/>
        <w:t xml:space="preserve"> </w:t>
      </w:r>
      <w:r>
        <w:rPr>
          <w:u w:val="double"/>
        </w:rPr>
        <w:t>Initial</w:t>
      </w:r>
      <w:r>
        <w:rPr/>
        <w:t xml:space="preserve"> Certificate Principal Balance of the Certificates, (ii) shall be delivered by the Trustee to the Depository or pursuant to the Depository’s instruction and (iii) shall bear a legend substantially to the following effect: “Unless and until it is exchanged in whole for </w:t>
      </w:r>
      <w:r>
        <w:rPr>
          <w:strike/>
        </w:rPr>
        <w:t>the</w:t>
      </w:r>
      <w:r>
        <w:rPr/>
        <w:t xml:space="preserve"> individual Certificates </w:t>
      </w:r>
      <w:r>
        <w:rPr>
          <w:u w:val="double"/>
        </w:rPr>
        <w:t>representing the interest</w:t>
      </w:r>
      <w:r>
        <w:rPr/>
        <w:t xml:space="preserve"> represented hereby, this Global Security may not be transferred except as a whole by the Depository to a nominee of the Depository or by a nominee of the Depository to a successor nominee or by the Depository or any such nominee to a successor Depository or a nominee of such successor Depository.”</w:t>
      </w:r>
    </w:p>
    <w:p>
      <w:pPr>
        <w:pStyle w:val="Heading3"/>
        <w:widowControl/>
        <w:numPr>
          <w:ilvl w:val="0"/>
          <w:numId w:val="0"/>
        </w:numPr>
        <w:bidi w:val="0"/>
        <w:ind w:firstLine="720"/>
        <w:jc w:val="both"/>
        <w:outlineLvl w:val="2"/>
        <w:rPr>
          <w:rFonts w:ascii="Times New Roman" w:hAnsi="Times New Roman"/>
        </w:rPr>
      </w:pPr>
      <w:r>
        <w:rPr/>
        <w:t>(b)  </w:t>
        <w:tab/>
        <w:t>No Holder of a Certificate will receive a Definitive Certificate representing such Holder’s interest in such Certificate or Certificates, except as provided in Sections 6.3 and 6.13. Unless and until definitive, fully registered Certificates (the “Definitive Certificates”) have been issued to Holders pursuant to Section 6.3 or 6.13:</w:t>
      </w:r>
    </w:p>
    <w:p>
      <w:pPr>
        <w:pStyle w:val="Heading4"/>
        <w:widowControl/>
        <w:numPr>
          <w:ilvl w:val="0"/>
          <w:numId w:val="0"/>
        </w:numPr>
        <w:bidi w:val="0"/>
        <w:ind w:firstLine="720" w:start="720"/>
        <w:jc w:val="both"/>
        <w:outlineLvl w:val="3"/>
        <w:rPr>
          <w:rFonts w:ascii="Times New Roman" w:hAnsi="Times New Roman"/>
        </w:rPr>
      </w:pPr>
      <w:r>
        <w:rPr/>
        <w:t>(i)</w:t>
        <w:tab/>
        <w:t>the provisions of this Section 6.8 shall be in full force and effect;</w:t>
      </w:r>
    </w:p>
    <w:p>
      <w:pPr>
        <w:pStyle w:val="Heading4"/>
        <w:widowControl/>
        <w:numPr>
          <w:ilvl w:val="0"/>
          <w:numId w:val="0"/>
        </w:numPr>
        <w:bidi w:val="0"/>
        <w:ind w:firstLine="720" w:start="720"/>
        <w:jc w:val="both"/>
        <w:outlineLvl w:val="3"/>
        <w:rPr>
          <w:rFonts w:ascii="Times New Roman" w:hAnsi="Times New Roman"/>
        </w:rPr>
      </w:pPr>
      <w:r>
        <w:rPr/>
        <w:t>(ii)</w:t>
        <w:tab/>
        <w:t>the Certificate Registrar and the Trustee shall be entitled to deal with the Depository for all purposes of this Agreement (including the distribution of Available Funds with respect to the Certificates and the giving of instructions or directions hereunder) as the sole Holder of the Certificates, and shall have no obligation to the Certificate Owners;</w:t>
      </w:r>
    </w:p>
    <w:p>
      <w:pPr>
        <w:pStyle w:val="Heading4"/>
        <w:widowControl/>
        <w:numPr>
          <w:ilvl w:val="0"/>
          <w:numId w:val="0"/>
        </w:numPr>
        <w:bidi w:val="0"/>
        <w:ind w:firstLine="720" w:start="720"/>
        <w:jc w:val="both"/>
        <w:outlineLvl w:val="3"/>
        <w:rPr>
          <w:rFonts w:ascii="Times New Roman" w:hAnsi="Times New Roman"/>
        </w:rPr>
      </w:pPr>
      <w:r>
        <w:rPr/>
        <w:t>(iii)</w:t>
        <w:tab/>
        <w:t>to the extent that the provisions of this Section 6.8 conflict with any other provisions of this Agreement other than Section 3.5, the provisions of this Section 6.8 shall control;</w:t>
      </w:r>
    </w:p>
    <w:p>
      <w:pPr>
        <w:pStyle w:val="Heading4"/>
        <w:widowControl/>
        <w:numPr>
          <w:ilvl w:val="0"/>
          <w:numId w:val="0"/>
        </w:numPr>
        <w:bidi w:val="0"/>
        <w:ind w:firstLine="720" w:start="720"/>
        <w:jc w:val="both"/>
        <w:outlineLvl w:val="3"/>
        <w:rPr>
          <w:rFonts w:ascii="Times New Roman" w:hAnsi="Times New Roman"/>
        </w:rPr>
      </w:pPr>
      <w:r>
        <w:rPr/>
        <w:t>(iv)</w:t>
        <w:tab/>
        <w:t>the rights of Certificate Owners shall be exercised only through the Depository and shall be limited to those established by law and agreements between such Certificate Owners and the Depository or its Participants; and</w:t>
      </w:r>
    </w:p>
    <w:p>
      <w:pPr>
        <w:pStyle w:val="Heading4"/>
        <w:widowControl/>
        <w:numPr>
          <w:ilvl w:val="0"/>
          <w:numId w:val="0"/>
        </w:numPr>
        <w:bidi w:val="0"/>
        <w:ind w:firstLine="720" w:start="720"/>
        <w:jc w:val="both"/>
        <w:outlineLvl w:val="3"/>
        <w:rPr>
          <w:rFonts w:ascii="Times New Roman" w:hAnsi="Times New Roman"/>
        </w:rPr>
      </w:pPr>
      <w:r>
        <w:rPr/>
        <w:t>(v)</w:t>
        <w:tab/>
        <w:t>whenever this Agreement requires or permits actions to be taken based upon instructions or directions of Holders of Certificates evidencing a specified percentage of the aggregate Voting Rights, the Depository shall be deemed to represent such percentage only to the extent that it has received written instructions to such effect from Certificate Owners or Participants in the Depository’s system owning or representing, respectively, such required percentage of the beneficial interests in the Certificates and has delivered such instructions to the Trustee.</w:t>
      </w:r>
    </w:p>
    <w:p>
      <w:pPr>
        <w:pStyle w:val="Heading3"/>
        <w:widowControl/>
        <w:numPr>
          <w:ilvl w:val="0"/>
          <w:numId w:val="0"/>
        </w:numPr>
        <w:bidi w:val="0"/>
        <w:ind w:firstLine="720"/>
        <w:jc w:val="both"/>
        <w:outlineLvl w:val="2"/>
        <w:rPr>
          <w:rFonts w:ascii="Times New Roman" w:hAnsi="Times New Roman"/>
        </w:rPr>
      </w:pPr>
      <w:r>
        <w:rPr/>
        <w:t>(c)  </w:t>
        <w:tab/>
        <w:t>The Depository must, at all times while it serves as Depository, be a clearing agency registered under the Exchange Act and any other applicable statute or regulation.</w:t>
      </w:r>
    </w:p>
    <w:p>
      <w:pPr>
        <w:pStyle w:val="Heading3"/>
        <w:widowControl/>
        <w:numPr>
          <w:ilvl w:val="0"/>
          <w:numId w:val="0"/>
        </w:numPr>
        <w:bidi w:val="0"/>
        <w:ind w:firstLine="720"/>
        <w:jc w:val="both"/>
        <w:outlineLvl w:val="2"/>
        <w:rPr>
          <w:rFonts w:ascii="Times New Roman" w:hAnsi="Times New Roman"/>
        </w:rPr>
      </w:pPr>
      <w:r>
        <w:rPr/>
        <w:t>(d)  </w:t>
        <w:tab/>
        <w:t>If any Global Security is to be exchanged for other Certificates or cancelled in whole, it shall be surrendered by or on behalf of the Depository or its nominee to the Trustee, as Certificate Registrar, for exchange or cancellation as provided in this Article VI or, if the Trustee is acting as custodian for the Depository or its nominee (or is party to a similar arrangement) with respect to such Global Security, the principal amount thereof shall be reduced to reflect that either all or none of the Certificates will be held as a Global Security after giving effect to such exchange or transfer, as the case may be, in each case by means of an appropriate adjustment made on the records of the Trustee, whereupon the Trustee shall instruct the Depository or its authorized representative to make a corresponding adjustment to its records (including by crediting or debiting any Participant’s account as necessary to reflect any transfer or exchange of a beneficial interest pursuant to Section 5.2(b)). Upon any such surrender or adjustment of a Global Security, the Trustee shall, subject to this Section 6.8 and as otherwise provided in this Article VI, authenticate and deliver any Certificates issuable in exchange for such Global Security to or upon the order of, and registered in such names as may be directed by, the Depository or its authorized representative in writing. Upon the request of the Trustee in connection with the occurrence of any of the events specified in Section 6.3 or 6.13, the Company shall promptly make available to the Trustee a reasonable supply of Certificates that are not in the form of Global Securities. The Trustee shall be entitled to rely upon any order, direction or request of the Depository or its authorized representative that is given or made pursuant to this Article VI.</w:t>
      </w:r>
    </w:p>
    <w:p>
      <w:pPr>
        <w:pStyle w:val="Heading3"/>
        <w:widowControl/>
        <w:numPr>
          <w:ilvl w:val="0"/>
          <w:numId w:val="0"/>
        </w:numPr>
        <w:bidi w:val="0"/>
        <w:ind w:firstLine="720"/>
        <w:jc w:val="both"/>
        <w:outlineLvl w:val="2"/>
        <w:rPr>
          <w:rFonts w:ascii="Times New Roman" w:hAnsi="Times New Roman"/>
        </w:rPr>
      </w:pPr>
      <w:r>
        <w:rPr/>
        <w:t>(e)  </w:t>
        <w:tab/>
        <w:t>Every Certificate authenticated and delivered upon registration of transfer of, or in exchange for or in lieu of, a Global Security, shall be authenticated and delivered in the form of, and shall be, a Global Security, unless such Certificate is registered in the name of a Person other than the Depository or a nominee thereof.</w:t>
      </w:r>
    </w:p>
    <w:p>
      <w:pPr>
        <w:pStyle w:val="Heading3"/>
        <w:widowControl/>
        <w:numPr>
          <w:ilvl w:val="0"/>
          <w:numId w:val="0"/>
        </w:numPr>
        <w:bidi w:val="0"/>
        <w:ind w:firstLine="720"/>
        <w:jc w:val="both"/>
        <w:outlineLvl w:val="2"/>
        <w:rPr>
          <w:rFonts w:ascii="Times New Roman" w:hAnsi="Times New Roman"/>
        </w:rPr>
      </w:pPr>
      <w:r>
        <w:rPr/>
        <w:t>(f)  </w:t>
        <w:tab/>
        <w:t>Subject to the provisions in the applicable legends required by Section 5.2(c), the registered Holder may grant proxies and otherwise authorize any Person, including Participants and Persons who may hold interests in Participants, to take any action that such Holder is entitled to take under this Agreement.</w:t>
      </w:r>
    </w:p>
    <w:p>
      <w:pPr>
        <w:pStyle w:val="Heading3"/>
        <w:widowControl/>
        <w:numPr>
          <w:ilvl w:val="0"/>
          <w:numId w:val="0"/>
        </w:numPr>
        <w:bidi w:val="0"/>
        <w:ind w:firstLine="720"/>
        <w:jc w:val="both"/>
        <w:outlineLvl w:val="2"/>
        <w:rPr>
          <w:rFonts w:ascii="Times New Roman" w:hAnsi="Times New Roman"/>
        </w:rPr>
      </w:pPr>
      <w:r>
        <w:rPr/>
        <w:t>(g)  </w:t>
        <w:tab/>
        <w:t>Neither Participants nor any other Persons on whose behalf Participants may act shall have any rights under this Agreement with respect to any Global Security held on their behalf by the Depository or under the Global Security, and the Depository may be treated by the Company, the Trustee</w:t>
      </w:r>
      <w:r>
        <w:rPr>
          <w:u w:val="double"/>
        </w:rPr>
        <w:t>, the Certificate Registrar, each Paying Agent</w:t>
      </w:r>
      <w:r>
        <w:rPr/>
        <w:t xml:space="preserve"> and any agent of the Company </w:t>
      </w:r>
      <w:r>
        <w:rPr>
          <w:strike/>
        </w:rPr>
        <w:t>or</w:t>
      </w:r>
      <w:r>
        <w:rPr>
          <w:u w:val="double"/>
        </w:rPr>
        <w:t>,</w:t>
      </w:r>
      <w:r>
        <w:rPr/>
        <w:t xml:space="preserve"> the Trustee</w:t>
      </w:r>
      <w:r>
        <w:rPr>
          <w:u w:val="double"/>
        </w:rPr>
        <w:t>, Certificate Registrar or    any    Paying Agent</w:t>
      </w:r>
      <w:r>
        <w:rPr/>
        <w:t xml:space="preserve"> as the absolute owner of such Global Security for all purposes whatsoever.</w:t>
      </w:r>
    </w:p>
    <w:p>
      <w:pPr>
        <w:pStyle w:val="Heading2"/>
        <w:widowControl/>
        <w:numPr>
          <w:ilvl w:val="0"/>
          <w:numId w:val="0"/>
        </w:numPr>
        <w:bidi w:val="0"/>
        <w:ind w:firstLine="720"/>
        <w:jc w:val="both"/>
        <w:outlineLvl w:val="1"/>
        <w:rPr>
          <w:rFonts w:ascii="Times New Roman" w:hAnsi="Times New Roman"/>
          <w:vanish/>
        </w:rPr>
      </w:pPr>
      <w:r>
        <w:rPr>
          <w:caps/>
          <w:u w:val="none"/>
        </w:rPr>
        <w:t>Section 6.9  </w:t>
        <w:tab/>
      </w:r>
      <w:bookmarkStart w:id="36" w:name="_Toc484274602"/>
      <w:r>
        <w:rPr/>
        <w:t>Notices to Depository</w:t>
      </w:r>
      <w:r>
        <w:rPr>
          <w:u w:val="none"/>
        </w:rPr>
        <w:t>.</w:t>
      </w:r>
      <w:bookmarkEnd w:id="36"/>
      <w:r>
        <w:rPr>
          <w:u w:val="none"/>
        </w:rPr>
        <w:t xml:space="preserve"> </w:t>
      </w:r>
    </w:p>
    <w:p>
      <w:pPr>
        <w:pStyle w:val="BodyText"/>
        <w:widowControl/>
        <w:bidi w:val="0"/>
        <w:jc w:val="both"/>
        <w:rPr>
          <w:rFonts w:ascii="Times New Roman" w:hAnsi="Times New Roman"/>
        </w:rPr>
      </w:pPr>
      <w:r>
        <w:rPr/>
        <w:t>Whenever a notice or other communication to the Certificate Owners represented by one or more Global Securities is required under this Agreement, unless and until Definitive Certificates shall have been issued to such Certificate Owners pursuant to Section 6.3, the Trustee shall give all such notices and communications specified herein to be given to Certificate Owners to the Depository, and shall have no obligation to the Certificate Owners.</w:t>
      </w:r>
    </w:p>
    <w:p>
      <w:pPr>
        <w:pStyle w:val="Heading2"/>
        <w:widowControl/>
        <w:numPr>
          <w:ilvl w:val="0"/>
          <w:numId w:val="0"/>
        </w:numPr>
        <w:bidi w:val="0"/>
        <w:ind w:firstLine="720"/>
        <w:jc w:val="both"/>
        <w:outlineLvl w:val="1"/>
        <w:rPr>
          <w:rFonts w:ascii="Times New Roman" w:hAnsi="Times New Roman"/>
          <w:vanish/>
        </w:rPr>
      </w:pPr>
      <w:r>
        <w:rPr>
          <w:caps/>
          <w:u w:val="none"/>
        </w:rPr>
        <w:t>Section 6.10  </w:t>
        <w:tab/>
      </w:r>
      <w:bookmarkStart w:id="37" w:name="_Toc484274603"/>
      <w:r>
        <w:rPr/>
        <w:t>Conditions of Authentication and Delivery</w:t>
      </w:r>
      <w:r>
        <w:rPr>
          <w:u w:val="none"/>
        </w:rPr>
        <w:t>.</w:t>
      </w:r>
      <w:bookmarkEnd w:id="37"/>
      <w:r>
        <w:rPr>
          <w:u w:val="none"/>
        </w:rPr>
        <w:t xml:space="preserve"> </w:t>
      </w:r>
    </w:p>
    <w:p>
      <w:pPr>
        <w:pStyle w:val="BodyText"/>
        <w:widowControl/>
        <w:bidi w:val="0"/>
        <w:jc w:val="both"/>
        <w:rPr>
          <w:rFonts w:ascii="Times New Roman" w:hAnsi="Times New Roman"/>
        </w:rPr>
      </w:pPr>
      <w:r>
        <w:rPr/>
        <w:t>The Company shall deliver Certificates to the Trustee, and the Trustee shall execute on behalf of the Trust and authenticate and deliver such Certificates, shall purchase the Notes and shall execute and deliver the Call Option, the Currency Swap and other closing documents in connection with the issue of the Certificates, upon receipt of a Company Order.</w:t>
      </w:r>
    </w:p>
    <w:p>
      <w:pPr>
        <w:pStyle w:val="Heading2"/>
        <w:widowControl/>
        <w:numPr>
          <w:ilvl w:val="0"/>
          <w:numId w:val="0"/>
        </w:numPr>
        <w:bidi w:val="0"/>
        <w:ind w:firstLine="720"/>
        <w:jc w:val="both"/>
        <w:outlineLvl w:val="1"/>
        <w:rPr>
          <w:rFonts w:ascii="Times New Roman" w:hAnsi="Times New Roman"/>
          <w:vanish/>
        </w:rPr>
      </w:pPr>
      <w:r>
        <w:rPr>
          <w:caps/>
          <w:u w:val="none"/>
        </w:rPr>
        <w:t>Section 6.11  </w:t>
        <w:tab/>
      </w:r>
      <w:bookmarkStart w:id="38" w:name="_Toc484274604"/>
      <w:r>
        <w:rPr/>
        <w:t>Appointment of Paying Agent</w:t>
      </w:r>
      <w:r>
        <w:rPr>
          <w:i/>
          <w:u w:val="none"/>
        </w:rPr>
        <w:t>.</w:t>
      </w:r>
      <w:bookmarkEnd w:id="38"/>
      <w:r>
        <w:rPr>
          <w:u w:val="none"/>
        </w:rPr>
        <w:t xml:space="preserve"> </w:t>
      </w:r>
    </w:p>
    <w:p>
      <w:pPr>
        <w:pStyle w:val="BodyText"/>
        <w:widowControl/>
        <w:bidi w:val="0"/>
        <w:jc w:val="both"/>
        <w:rPr>
          <w:rFonts w:ascii="Times New Roman" w:hAnsi="Times New Roman"/>
        </w:rPr>
      </w:pPr>
      <w:r>
        <w:rPr/>
        <w:t>The Trustee may appoint one or more paying agents (each, a “Paying Agent”) with respect to the Certificates. Any such Paying Agent shall be authorized to make distributions to Certificateholders from the Certificate Account and shall report the amounts of such distributions to the Trustee. Any Paying Agent shall have the revocable power to withdraw funds from the Certificate Account for the purpose of making the distributions referred to above. The Trustee may revoke such power and remove the Paying Agent if the Trustee determines in its sole discretion that the Paying Agent shall have failed to perform its obligations under this Agreement in any material respect. The Paying Agent shall initially be the Trustee and any co-paying agent chosen by the Company and acceptable to the Trustee. Any Paying Agent shall be permitted to resign as Paying Agent upon 30 days’ written notice to the Trustee and the Company. In the event that the Trustee shall no longer be the Paying Agent, the Trustee shall appoint a successor or additional Paying Agent. Any such successor or additional Paying Agent must be approved by the Company, whose approval shall not be unreasonably withheld or delayed. The Trustee shall cause each successor Paying Agent or additional Paying Agent to execute and deliver to the Trustee an instrument in which such successor or additional Paying Agent shall agree with the Trustee that it will hold all sums, if any, held by it for distribution to the Certificateholders in trust for the benefit of the Certificateholders entitled thereto until such sums shall be distributed to such Certificateholders. The Paying Agent shall return all unclaimed funds to the Trustee and upon removal shall also return all funds in its possession to the Trustee. The provisions of Sections 9.1, 9.2, 9.3 and 9.5 shall apply to the Trustee also in its role as Paying Agent, for so long as the Trustee shall act as Paying Agent and, to the extent applicable, to any other Paying Agent appointed hereunder. Any reference in this Agreement to the Paying Agent shall include any co-paying agent unless the context requires otherwise. Notwithstanding anything contained herein to the contrary, the appointment of a Paying Agent pursuant to this Section 6.11 shall not release the Trustee from the duties, obligations, responsibilities or liabilities arising under this Agreement other than with respect to funds paid to such Paying Agent.</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6.12  </w:t>
        <w:tab/>
      </w:r>
      <w:bookmarkStart w:id="39" w:name="_Toc484274605"/>
      <w:r>
        <w:rPr/>
        <w:t>Authenticating Agent</w:t>
      </w:r>
      <w:r>
        <w:rPr>
          <w:u w:val="none"/>
        </w:rPr>
        <w:t>.</w:t>
      </w:r>
      <w:bookmarkEnd w:id="39"/>
    </w:p>
    <w:p>
      <w:pPr>
        <w:pStyle w:val="Heading3"/>
        <w:widowControl/>
        <w:numPr>
          <w:ilvl w:val="0"/>
          <w:numId w:val="0"/>
        </w:numPr>
        <w:bidi w:val="0"/>
        <w:ind w:firstLine="720"/>
        <w:jc w:val="both"/>
        <w:outlineLvl w:val="2"/>
        <w:rPr>
          <w:rFonts w:ascii="Times New Roman" w:hAnsi="Times New Roman"/>
        </w:rPr>
      </w:pPr>
      <w:r>
        <w:rPr/>
        <w:t>(a)  </w:t>
        <w:tab/>
        <w:t>The Trustee may appoint one or more Authenticating Agents (each, an “Authenticating Agent”) with respect to the Certificates that shall be authorized to act on behalf of the Trustee in authenticating such Certificates in connection with the issuance, delivery and registration of transfer or exchange of such Certificates. Whenever reference is made in this Agreement to the authentication of Certificates by the Trustee or the Trustee’s certificate of authentication, such reference shall be deemed to include authentication on behalf of the Trustee by an Authenticating Agent and a certificate of authentication executed on behalf of the Trustee by an Authenticating Agent. Each Authenticating Agent must be acceptable to the Company. Notwithstanding anything contained herein to the contrary, the appointment of an Authenticating Agent pursuant to this Section 6.12 shall not release the Trustee from the duties, obligations, responsibilities or liabilities arising under this Agreement.</w:t>
      </w:r>
    </w:p>
    <w:p>
      <w:pPr>
        <w:pStyle w:val="Heading3"/>
        <w:widowControl/>
        <w:numPr>
          <w:ilvl w:val="0"/>
          <w:numId w:val="0"/>
        </w:numPr>
        <w:bidi w:val="0"/>
        <w:ind w:firstLine="720"/>
        <w:jc w:val="both"/>
        <w:outlineLvl w:val="2"/>
        <w:rPr>
          <w:rFonts w:ascii="Times New Roman" w:hAnsi="Times New Roman"/>
        </w:rPr>
      </w:pPr>
      <w:r>
        <w:rPr/>
        <w:t>(b)  </w:t>
        <w:tab/>
        <w:t>Any institution succeeding to the corporate agency business of any Authenticating Agent shall continue to be an Authenticating Agent without the execution or filing of any power or any further act on the part of the Trustee or such Authenticating Agent. An Authenticating Agent may at any time resign by giving notice of resignation to the Trustee and to the Company. The Trustee may at any time terminate the agency of an Authenticating Agent by giving notice of termination to such Authenticating Agent and to the Company. Upon receiving such a notice of resignation or upon such a termination, or in case at any time an Authenticating Agent shall cease to be acceptable to the Trustee or the Company, the Trustee promptly may appoint a successor Authenticating Agent. Any successor Authenticating Agent upon acceptance of its appointment hereunder shall become vested with all the rights, powers and duties of its predecessor hereunder, with like effect as if originally named as an Authenticating Agent. No successor Authenticating Agent shall be appointed unless acceptable to the Company. The Trustee agrees to pay to each Authenticating Agent from time to time reasonable compensation for its services under this Section 6.12. The provisions of Sections 9.1, 9.2 and 9.3 shall be applicable to any Authenticating Agent.</w:t>
      </w:r>
    </w:p>
    <w:p>
      <w:pPr>
        <w:pStyle w:val="Heading3"/>
        <w:widowControl/>
        <w:numPr>
          <w:ilvl w:val="0"/>
          <w:numId w:val="0"/>
        </w:numPr>
        <w:bidi w:val="0"/>
        <w:ind w:firstLine="720"/>
        <w:jc w:val="both"/>
        <w:outlineLvl w:val="2"/>
        <w:rPr>
          <w:rFonts w:ascii="Times New Roman" w:hAnsi="Times New Roman"/>
        </w:rPr>
      </w:pPr>
      <w:r>
        <w:rPr/>
        <w:t>(c)  </w:t>
        <w:tab/>
        <w:t>Pursuant to an appointment made under this Section 6.12, the Certificates may have endorsed thereon, in lieu of the Trustee’s certificate of authentication, an alternate certificate of authentication in substantially the following form:</w:t>
      </w:r>
    </w:p>
    <w:p>
      <w:pPr>
        <w:pStyle w:val="BodyTextFirstIndent"/>
        <w:keepNext w:val="true"/>
        <w:keepLines/>
        <w:widowControl/>
        <w:bidi w:val="0"/>
        <w:ind w:firstLine="720"/>
        <w:jc w:val="both"/>
        <w:rPr>
          <w:rFonts w:ascii="Times New Roman" w:hAnsi="Times New Roman"/>
        </w:rPr>
      </w:pPr>
      <w:r>
        <w:rPr/>
        <w:t>This is one of the Certificates described in the Trust Agreement referred to herein.</w:t>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u w:val="single"/>
        </w:rPr>
      </w:pPr>
      <w:r>
        <w:rPr>
          <w:u w:val="single"/>
        </w:rPr>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rPr>
      </w:pPr>
      <w:r>
        <w:rPr/>
        <w:t>as Authenticating Agent</w:t>
      </w:r>
    </w:p>
    <w:p>
      <w:pPr>
        <w:pStyle w:val="Closing"/>
        <w:keepNext w:val="true"/>
        <w:keepLines/>
        <w:widowControl/>
        <w:bidi w:val="0"/>
        <w:jc w:val="both"/>
        <w:rPr>
          <w:rFonts w:ascii="Times New Roman" w:hAnsi="Times New Roman"/>
        </w:rPr>
      </w:pPr>
      <w:r>
        <w:rPr/>
        <w:t>for the Trustee</w:t>
      </w:r>
    </w:p>
    <w:p>
      <w:pPr>
        <w:pStyle w:val="Closing"/>
        <w:keepNext w:val="true"/>
        <w:keepLines/>
        <w:widowControl/>
        <w:bidi w:val="0"/>
        <w:jc w:val="both"/>
        <w:rPr>
          <w:rFonts w:ascii="Times New Roman" w:hAnsi="Times New Roman"/>
        </w:rPr>
      </w:pPr>
      <w:r>
        <w:rPr/>
      </w:r>
    </w:p>
    <w:p>
      <w:pPr>
        <w:pStyle w:val="Closing"/>
        <w:keepNext w:val="true"/>
        <w:keepLines/>
        <w:widowControl/>
        <w:bidi w:val="0"/>
        <w:jc w:val="both"/>
        <w:rPr>
          <w:rFonts w:ascii="Times New Roman" w:hAnsi="Times New Roman"/>
        </w:rPr>
      </w:pPr>
      <w:r>
        <w:rPr/>
        <w:t>by</w:t>
      </w:r>
    </w:p>
    <w:p>
      <w:pPr>
        <w:pStyle w:val="Closing"/>
        <w:keepNext w:val="true"/>
        <w:keepLines/>
        <w:widowControl/>
        <w:bidi w:val="0"/>
        <w:jc w:val="both"/>
        <w:rPr>
          <w:rFonts w:ascii="Times New Roman" w:hAnsi="Times New Roman"/>
        </w:rPr>
      </w:pPr>
      <w:r>
        <w:rPr/>
      </w:r>
    </w:p>
    <w:p>
      <w:pPr>
        <w:pStyle w:val="Closing"/>
        <w:keepNext w:val="true"/>
        <w:keepLines/>
        <w:widowControl/>
        <w:bidi w:val="0"/>
        <w:jc w:val="both"/>
        <w:rPr>
          <w:rFonts w:ascii="Times New Roman" w:hAnsi="Times New Roman"/>
          <w:u w:val="single"/>
        </w:rPr>
      </w:pPr>
      <w:r>
        <w:rPr>
          <w:u w:val="single"/>
        </w:rPr>
        <w:t>_________________________</w:t>
      </w:r>
    </w:p>
    <w:p>
      <w:pPr>
        <w:pStyle w:val="Closing"/>
        <w:keepNext w:val="true"/>
        <w:keepLines/>
        <w:widowControl/>
        <w:bidi w:val="0"/>
        <w:jc w:val="both"/>
        <w:rPr>
          <w:rFonts w:ascii="Times New Roman" w:hAnsi="Times New Roman"/>
        </w:rPr>
      </w:pPr>
      <w:r>
        <w:rPr/>
        <w:t>Authorized Signatory</w:t>
      </w:r>
    </w:p>
    <w:p>
      <w:pPr>
        <w:pStyle w:val="Closing"/>
        <w:widowControl/>
        <w:bidi w:val="0"/>
        <w:jc w:val="both"/>
        <w:rPr>
          <w:rFonts w:ascii="Times New Roman" w:hAnsi="Times New Roman"/>
        </w:rPr>
      </w:pPr>
      <w:r>
        <w:rPr/>
      </w:r>
    </w:p>
    <w:p>
      <w:pPr>
        <w:pStyle w:val="Closing"/>
        <w:widowControl/>
        <w:bidi w:val="0"/>
        <w:jc w:val="both"/>
        <w:rPr>
          <w:rFonts w:ascii="Times New Roman" w:hAnsi="Times New Roman"/>
        </w:rPr>
      </w:pPr>
      <w:r>
        <w:rPr/>
      </w:r>
    </w:p>
    <w:p>
      <w:pPr>
        <w:pStyle w:val="Heading2"/>
        <w:widowControl/>
        <w:numPr>
          <w:ilvl w:val="0"/>
          <w:numId w:val="0"/>
        </w:numPr>
        <w:bidi w:val="0"/>
        <w:ind w:firstLine="720"/>
        <w:jc w:val="both"/>
        <w:outlineLvl w:val="1"/>
        <w:rPr>
          <w:rFonts w:ascii="Times New Roman" w:hAnsi="Times New Roman"/>
          <w:vanish/>
        </w:rPr>
      </w:pPr>
      <w:r>
        <w:rPr>
          <w:caps/>
          <w:u w:val="none"/>
        </w:rPr>
        <w:t>Section 6.13  </w:t>
        <w:tab/>
      </w:r>
      <w:bookmarkStart w:id="40" w:name="_Toc484274606"/>
      <w:r>
        <w:rPr/>
        <w:t>Remedies</w:t>
      </w:r>
      <w:r>
        <w:rPr>
          <w:u w:val="none"/>
        </w:rPr>
        <w:t>.</w:t>
      </w:r>
      <w:bookmarkEnd w:id="40"/>
      <w:r>
        <w:rPr>
          <w:u w:val="none"/>
        </w:rPr>
        <w:t xml:space="preserve"> </w:t>
      </w:r>
    </w:p>
    <w:p>
      <w:pPr>
        <w:pStyle w:val="BodyText"/>
        <w:widowControl/>
        <w:bidi w:val="0"/>
        <w:jc w:val="both"/>
        <w:rPr>
          <w:rFonts w:ascii="Times New Roman" w:hAnsi="Times New Roman"/>
        </w:rPr>
      </w:pPr>
      <w:r>
        <w:rPr/>
        <w:t xml:space="preserve">Following the occurrence of an Event of Default, or a payment default by the Swap Counterparty under the Currency Swap or upon a Swap Termination Event, the Trustee shall, within five Business Days of obtaining knowledge of such Event of Default, default or Swap Termination Event, mail a notice of such Event of Default, default or Swap Termination Event to each Certificateholder of record as of the date the Trustee obtained such knowledge. The Trustee shall request instructions from Certificateholders as to what actions to take or cause to be taken or remedies to exercise or cause to be exercised under the Notes or the Currency Swap, including any actions or remedies with respect to, in the case of a payment default by the Swap Counterparty under the Currency Swap, any unpaid Dollar Swap Payment or other US Dollar amount owing by the Swap Counterparty under the Currency Swap and, in the case of a Swap Termination Event (other than as a result of a Conversion Event), any claim against the Swap Counterparty for any Swap Termination Payment and whether or not such Swap Termination Payment shall constitute Available Funds. The Trustee shall take or cause to be taken such actions or exercise or cause to be exercised such remedies as are permitted under the Notes or the Currency Swap and as Certificateholders holding the Required Percentage shall direct in writing; </w:t>
      </w:r>
      <w:r>
        <w:rPr>
          <w:i/>
        </w:rPr>
        <w:t>provided, however</w:t>
      </w:r>
      <w:r>
        <w:rPr/>
        <w:t xml:space="preserve">, that the Trustee shall only authorize the issuance of Definitive Certificates upon the affirmative vote of the Required Percentage; </w:t>
      </w:r>
      <w:r>
        <w:rPr>
          <w:i/>
        </w:rPr>
        <w:t>provided, further</w:t>
      </w:r>
      <w:r>
        <w:rPr/>
        <w:t>, that Definitive Certificates representing 100% of the outstanding principal balance of the Certificates shall be issued if any Definitive Certificates are issued; and</w:t>
      </w:r>
      <w:r>
        <w:rPr>
          <w:i/>
        </w:rPr>
        <w:t xml:space="preserve"> provided, further</w:t>
      </w:r>
      <w:r>
        <w:rPr/>
        <w:t xml:space="preserve">, that the Trustee may not sell, liquidate or otherwise dispose of the Notes other than in connection with a Trust Termination Event; and </w:t>
      </w:r>
      <w:r>
        <w:rPr>
          <w:i/>
        </w:rPr>
        <w:t>provided, further</w:t>
      </w:r>
      <w:r>
        <w:rPr/>
        <w:t>, the Trustee shall be under no obligation to take any action at the request, order or direction of Certificateholders unless such Certificateholders have offered the Trustee reasonable security or indemnity. The Trustee shall have no liability for any failure to act resulting from the Certificateholders’ late return of, or failure to return, directions requested by the Trustee from the Certificateholders.</w:t>
      </w:r>
    </w:p>
    <w:p>
      <w:pPr>
        <w:pStyle w:val="Heading1"/>
        <w:widowControl/>
        <w:numPr>
          <w:ilvl w:val="0"/>
          <w:numId w:val="0"/>
        </w:numPr>
        <w:bidi w:val="0"/>
        <w:outlineLvl w:val="0"/>
        <w:rPr>
          <w:rFonts w:ascii="Times New Roman" w:hAnsi="Times New Roman"/>
        </w:rPr>
      </w:pPr>
      <w:r>
        <w:rPr>
          <w:caps/>
          <w:u w:val="none"/>
        </w:rPr>
        <w:t xml:space="preserve">Article VII </w:t>
      </w:r>
      <w:r>
        <w:rPr/>
        <w:br/>
        <w:br/>
      </w:r>
      <w:bookmarkStart w:id="41" w:name="_Toc484274607"/>
      <w:r>
        <w:rPr/>
        <w:t>The Company</w:t>
      </w:r>
      <w:bookmarkEnd w:id="41"/>
    </w:p>
    <w:p>
      <w:pPr>
        <w:pStyle w:val="Heading2"/>
        <w:widowControl/>
        <w:numPr>
          <w:ilvl w:val="0"/>
          <w:numId w:val="0"/>
        </w:numPr>
        <w:bidi w:val="0"/>
        <w:ind w:firstLine="720"/>
        <w:jc w:val="both"/>
        <w:outlineLvl w:val="1"/>
        <w:rPr>
          <w:rFonts w:ascii="Times New Roman" w:hAnsi="Times New Roman"/>
          <w:vanish/>
        </w:rPr>
      </w:pPr>
      <w:r>
        <w:rPr>
          <w:caps/>
          <w:u w:val="none"/>
        </w:rPr>
        <w:t>Section 7.1  </w:t>
        <w:tab/>
      </w:r>
      <w:bookmarkStart w:id="42" w:name="_Toc484274608"/>
      <w:r>
        <w:rPr/>
        <w:t>Liability of Company</w:t>
      </w:r>
      <w:r>
        <w:rPr>
          <w:u w:val="none"/>
        </w:rPr>
        <w:t>.</w:t>
      </w:r>
      <w:bookmarkEnd w:id="42"/>
      <w:r>
        <w:rPr>
          <w:u w:val="none"/>
        </w:rPr>
        <w:t xml:space="preserve"> </w:t>
      </w:r>
    </w:p>
    <w:p>
      <w:pPr>
        <w:pStyle w:val="BodyText"/>
        <w:widowControl/>
        <w:bidi w:val="0"/>
        <w:jc w:val="both"/>
        <w:rPr>
          <w:rFonts w:ascii="Times New Roman" w:hAnsi="Times New Roman"/>
        </w:rPr>
      </w:pPr>
      <w:r>
        <w:rPr/>
        <w:t>The Company shall be liable in accordance herewith only to the extent of the obligations specifically imposed by this Agreement.</w:t>
      </w:r>
    </w:p>
    <w:p>
      <w:pPr>
        <w:pStyle w:val="Heading2"/>
        <w:keepNext w:val="true"/>
        <w:widowControl/>
        <w:numPr>
          <w:ilvl w:val="0"/>
          <w:numId w:val="0"/>
        </w:numPr>
        <w:bidi w:val="0"/>
        <w:ind w:firstLine="720"/>
        <w:jc w:val="both"/>
        <w:outlineLvl w:val="1"/>
        <w:rPr>
          <w:rFonts w:ascii="Times New Roman" w:hAnsi="Times New Roman"/>
          <w:vanish/>
        </w:rPr>
      </w:pPr>
      <w:r>
        <w:rPr>
          <w:caps/>
          <w:u w:val="none"/>
        </w:rPr>
        <w:t>Section 7.2  </w:t>
        <w:tab/>
      </w:r>
      <w:bookmarkStart w:id="43" w:name="_Toc484274609"/>
      <w:r>
        <w:rPr/>
        <w:t>Limitation on Liability of Company</w:t>
      </w:r>
      <w:r>
        <w:rPr>
          <w:u w:val="none"/>
        </w:rPr>
        <w:t>.</w:t>
      </w:r>
      <w:bookmarkEnd w:id="43"/>
      <w:r>
        <w:rPr>
          <w:u w:val="none"/>
        </w:rPr>
        <w:t xml:space="preserve"> </w:t>
      </w:r>
    </w:p>
    <w:p>
      <w:pPr>
        <w:pStyle w:val="BodyText"/>
        <w:widowControl/>
        <w:bidi w:val="0"/>
        <w:jc w:val="both"/>
        <w:rPr>
          <w:rFonts w:ascii="Times New Roman" w:hAnsi="Times New Roman"/>
        </w:rPr>
      </w:pPr>
      <w:r>
        <w:rPr/>
        <w:t xml:space="preserve">Neither the Company nor any of the directors, officers, employees or agents of the Company shall be under any liability to the Trust or the Certificateholders for any action taken, or for refraining from the taking of any action, in good faith pursuant to this Agreement, or for errors in judgment; </w:t>
      </w:r>
      <w:r>
        <w:rPr>
          <w:i/>
        </w:rPr>
        <w:t>provided, however</w:t>
      </w:r>
      <w:r>
        <w:rPr/>
        <w:t>, that this provision shall not protect the Company or any such person against any breach of warranties, representations or covenants made herein, or against any liability that would otherwise be imposed by reason of willful misfeasance, bad faith or negligence in the performance of duties or by reason of reckless disregard of obligations and duties hereunder.</w:t>
      </w:r>
    </w:p>
    <w:p>
      <w:pPr>
        <w:pStyle w:val="BodyTextFirstIndent"/>
        <w:widowControl/>
        <w:bidi w:val="0"/>
        <w:ind w:firstLine="720"/>
        <w:jc w:val="both"/>
        <w:rPr>
          <w:rFonts w:ascii="Times New Roman" w:hAnsi="Times New Roman"/>
        </w:rPr>
      </w:pPr>
      <w:r>
        <w:rPr/>
        <w:t xml:space="preserve">The Company shall not be under any obligation to appear in, prosecute or defend any legal action unless such action is related to its respective duties under this Agreement and, in its opinion, does not involve it in any expense or liability; </w:t>
      </w:r>
      <w:r>
        <w:rPr>
          <w:i/>
        </w:rPr>
        <w:t>provided, however</w:t>
      </w:r>
      <w:r>
        <w:rPr/>
        <w:t>, that the Company may in its discretion undertake any such action that it may deem necessary or desirable with respect to this Agreement and the rights and duties of the parties hereto and the interests of the Certificateholders hereunder.</w:t>
      </w:r>
    </w:p>
    <w:p>
      <w:pPr>
        <w:pStyle w:val="Heading1"/>
        <w:widowControl/>
        <w:numPr>
          <w:ilvl w:val="0"/>
          <w:numId w:val="0"/>
        </w:numPr>
        <w:bidi w:val="0"/>
        <w:outlineLvl w:val="0"/>
        <w:rPr>
          <w:rFonts w:ascii="Times New Roman" w:hAnsi="Times New Roman"/>
        </w:rPr>
      </w:pPr>
      <w:r>
        <w:rPr>
          <w:caps/>
          <w:u w:val="none"/>
        </w:rPr>
        <w:t xml:space="preserve">Article VIII </w:t>
      </w:r>
      <w:r>
        <w:rPr/>
        <w:br/>
        <w:br/>
      </w:r>
      <w:bookmarkStart w:id="44" w:name="_Toc484274610"/>
      <w:r>
        <w:rPr/>
        <w:t>Concerning the Currency Swap, the Call Option and the Early Redemption Right</w:t>
      </w:r>
      <w:bookmarkEnd w:id="44"/>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8.1  </w:t>
        <w:tab/>
      </w:r>
      <w:bookmarkStart w:id="45" w:name="_Toc484274611"/>
      <w:r>
        <w:rPr/>
        <w:t>Currency Swap and Call Option</w:t>
      </w:r>
      <w:r>
        <w:rPr>
          <w:u w:val="none"/>
        </w:rPr>
        <w:t>.</w:t>
      </w:r>
      <w:bookmarkEnd w:id="45"/>
    </w:p>
    <w:p>
      <w:pPr>
        <w:pStyle w:val="Heading3"/>
        <w:widowControl/>
        <w:numPr>
          <w:ilvl w:val="0"/>
          <w:numId w:val="0"/>
        </w:numPr>
        <w:bidi w:val="0"/>
        <w:ind w:firstLine="720"/>
        <w:jc w:val="both"/>
        <w:outlineLvl w:val="2"/>
        <w:rPr>
          <w:rFonts w:ascii="Times New Roman" w:hAnsi="Times New Roman"/>
        </w:rPr>
      </w:pPr>
      <w:r>
        <w:rPr/>
        <w:t>(a)  </w:t>
        <w:tab/>
        <w:t>Concurrently with the issue of the Certificates, the Trustee shall</w:t>
      </w:r>
      <w:r>
        <w:rPr>
          <w:u w:val="double"/>
        </w:rPr>
        <w:t>, on behalf of    the Trust,</w:t>
      </w:r>
      <w:r>
        <w:rPr/>
        <w:t xml:space="preserve"> execute the Currency Swap and the Call Option. The Trustee shall perform the Trust’s obligations under the Currency Swap and the Call Option in accordance with their respective terms.</w:t>
      </w:r>
    </w:p>
    <w:p>
      <w:pPr>
        <w:pStyle w:val="Heading3"/>
        <w:widowControl/>
        <w:numPr>
          <w:ilvl w:val="0"/>
          <w:numId w:val="0"/>
        </w:numPr>
        <w:bidi w:val="0"/>
        <w:ind w:firstLine="720"/>
        <w:jc w:val="both"/>
        <w:outlineLvl w:val="2"/>
        <w:rPr>
          <w:rFonts w:ascii="Times New Roman" w:hAnsi="Times New Roman"/>
        </w:rPr>
      </w:pPr>
      <w:r>
        <w:rPr/>
        <w:t>(b)  </w:t>
        <w:tab/>
        <w:t xml:space="preserve">The </w:t>
      </w:r>
      <w:r>
        <w:rPr>
          <w:strike/>
        </w:rPr>
        <w:t>Trustee</w:t>
      </w:r>
      <w:r>
        <w:rPr/>
        <w:t xml:space="preserve"> </w:t>
      </w:r>
      <w:r>
        <w:rPr>
          <w:u w:val="double"/>
        </w:rPr>
        <w:t>Trust</w:t>
      </w:r>
      <w:r>
        <w:rPr/>
        <w:t xml:space="preserve"> shall be permitted, without the consent of Certificateholders, to enter into any amendment to the Currency Swap or the Call Option, in accordance with the terms thereof, to cure any ambiguity in, or to correct or supplement any provision of, the Currency Swap or the Call Option, provided that (a) the Trustee has received an Opinion of Counsel to the effect that such amendment (i) will not materially adversely affect the interests of the Certificateholders and (ii) will not </w:t>
      </w:r>
      <w:r>
        <w:rPr>
          <w:strike/>
        </w:rPr>
        <w:t>alter</w:t>
      </w:r>
      <w:r>
        <w:rPr/>
        <w:t xml:space="preserve"> </w:t>
      </w:r>
      <w:r>
        <w:rPr>
          <w:u w:val="double"/>
        </w:rPr>
        <w:t>affect</w:t>
      </w:r>
      <w:r>
        <w:rPr/>
        <w:t xml:space="preserve"> the status of the Trust as a grantor trust for US federal income tax purposes; </w:t>
      </w:r>
      <w:r>
        <w:rPr>
          <w:i/>
        </w:rPr>
        <w:t>provided, however</w:t>
      </w:r>
      <w:r>
        <w:rPr/>
        <w:t>, that counsel giving such opinion may conclusively rely upon an Officer’s Certificate of the Company with respect to the absence of any materially adverse effects of a non-legal nature. In the event the Trustee</w:t>
      </w:r>
      <w:r>
        <w:rPr>
          <w:u w:val="double"/>
        </w:rPr>
        <w:t>, on behalf of the Trust</w:t>
      </w:r>
      <w:r>
        <w:rPr/>
        <w:t xml:space="preserve"> receives any other request from the Swap Counterparty or the Callholder, as the case may be, for approval of any consent relating to or waiver or other modification of the Currency Swap or the Call Option, the Trustee shall promptly deliver notice of such proposed consent, waiver or modification to each Certificateholder and shall request from the Certificateholders instructions as to whether or not to give or execute such consent, waiver or modification. Upon the direction of Holders of Certificates evidencing not less than the Required Percentage—Direction of Trustee of the aggregate Voting Rights of the Certificates, the Trustee shall </w:t>
      </w:r>
      <w:r>
        <w:rPr>
          <w:u w:val="double"/>
        </w:rPr>
        <w:t>cause the Trust to</w:t>
      </w:r>
      <w:r>
        <w:rPr/>
        <w:t xml:space="preserve"> enter into such consent, waiver or other modification of the Currency Swap or the Call Option; </w:t>
      </w:r>
      <w:r>
        <w:rPr>
          <w:i/>
        </w:rPr>
        <w:t>provided, however,</w:t>
      </w:r>
      <w:r>
        <w:rPr/>
        <w:t xml:space="preserve"> that the Trustee shall have received an Opinion of Counsel to the effect that such consent, waiver or other modification will not </w:t>
      </w:r>
      <w:r>
        <w:rPr>
          <w:strike/>
        </w:rPr>
        <w:t>alter</w:t>
      </w:r>
      <w:r>
        <w:rPr/>
        <w:t xml:space="preserve"> </w:t>
      </w:r>
      <w:r>
        <w:rPr>
          <w:u w:val="double"/>
        </w:rPr>
        <w:t>affect</w:t>
      </w:r>
      <w:r>
        <w:rPr/>
        <w:t xml:space="preserve"> the status of the Trust as a grantor trust for US federal income tax purposes; and </w:t>
      </w:r>
      <w:r>
        <w:rPr>
          <w:i/>
        </w:rPr>
        <w:t>provided further</w:t>
      </w:r>
      <w:r>
        <w:rPr/>
        <w:t xml:space="preserve">, that the </w:t>
      </w:r>
      <w:r>
        <w:rPr>
          <w:strike/>
        </w:rPr>
        <w:t>Trustee</w:t>
      </w:r>
      <w:r>
        <w:rPr/>
        <w:t xml:space="preserve"> </w:t>
      </w:r>
      <w:r>
        <w:rPr>
          <w:u w:val="double"/>
        </w:rPr>
        <w:t>Trust</w:t>
      </w:r>
      <w:r>
        <w:rPr/>
        <w:t xml:space="preserve"> shall not enter into any such consent, waiver or other modification if the Trustee determines (based upon advice of counsel upon which advice the Trustee may conclusively rely) that such consent, waiver or other modification would, in the case of the Currency Swap, alter the date on which any Dollar Swap Payments or other Dollar payments are to be made thereunder or alter the amount thereof and, in the case of the Call Option, alter the date on which the Call Option is exercisable or the amount payable upon exercise of the Call Option.</w:t>
      </w:r>
    </w:p>
    <w:p>
      <w:pPr>
        <w:pStyle w:val="Heading3"/>
        <w:widowControl/>
        <w:numPr>
          <w:ilvl w:val="0"/>
          <w:numId w:val="0"/>
        </w:numPr>
        <w:bidi w:val="0"/>
        <w:ind w:firstLine="720"/>
        <w:jc w:val="both"/>
        <w:outlineLvl w:val="2"/>
        <w:rPr>
          <w:rFonts w:ascii="Times New Roman" w:hAnsi="Times New Roman"/>
        </w:rPr>
      </w:pPr>
      <w:r>
        <w:rPr/>
        <w:t>(c)  </w:t>
        <w:tab/>
        <w:t xml:space="preserve">Notwithstanding Section 8.1(b), the </w:t>
      </w:r>
      <w:r>
        <w:rPr>
          <w:strike/>
        </w:rPr>
        <w:t>Trustee</w:t>
      </w:r>
      <w:r>
        <w:rPr/>
        <w:t xml:space="preserve"> </w:t>
      </w:r>
      <w:r>
        <w:rPr>
          <w:u w:val="double"/>
        </w:rPr>
        <w:t>Trust</w:t>
      </w:r>
      <w:r>
        <w:rPr/>
        <w:t xml:space="preserve"> shall not enter into any amendment to, or give or execute any consent relating to or waiver or other modification of, the Currency Swap or the Call Option unless the Rating Agency Condition is satisfied.</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8.2  </w:t>
        <w:tab/>
      </w:r>
      <w:bookmarkStart w:id="46" w:name="_Toc484274612"/>
      <w:r>
        <w:rPr/>
        <w:t>Obligations to the Callholder</w:t>
      </w:r>
      <w:r>
        <w:rPr>
          <w:u w:val="none"/>
        </w:rPr>
        <w:t>.</w:t>
      </w:r>
      <w:bookmarkEnd w:id="46"/>
    </w:p>
    <w:p>
      <w:pPr>
        <w:pStyle w:val="Heading3"/>
        <w:widowControl/>
        <w:numPr>
          <w:ilvl w:val="0"/>
          <w:numId w:val="0"/>
        </w:numPr>
        <w:bidi w:val="0"/>
        <w:ind w:firstLine="720"/>
        <w:jc w:val="both"/>
        <w:outlineLvl w:val="2"/>
        <w:rPr>
          <w:rFonts w:ascii="Times New Roman" w:hAnsi="Times New Roman"/>
        </w:rPr>
      </w:pPr>
      <w:r>
        <w:rPr/>
        <w:t>(a)  </w:t>
        <w:tab/>
        <w:t>Upon the exercise of the Call Option in accordance with its terms, the Trustee shall deliver or cause to be delivered the Notes upon the written direction of the Callholder, by 10:00 a.m. (New York City time) on the Settlement Date, provided that the Trustee shall have received notice of the exercise thereof from the Callholder on or prior to the Call Exercise Date in accordance with the terms of the Call Option and shall have received from the Callholder an amount, in immediately available funds in a form acceptable to the Trustee, equal to the Call Price for the Notes, by 2:00 p.m. (London time) on the Business Day prior to the Settlement Date.</w:t>
      </w:r>
    </w:p>
    <w:p>
      <w:pPr>
        <w:pStyle w:val="Heading3"/>
        <w:widowControl/>
        <w:numPr>
          <w:ilvl w:val="0"/>
          <w:numId w:val="0"/>
        </w:numPr>
        <w:bidi w:val="0"/>
        <w:ind w:firstLine="720"/>
        <w:jc w:val="both"/>
        <w:outlineLvl w:val="2"/>
        <w:rPr>
          <w:rFonts w:ascii="Times New Roman" w:hAnsi="Times New Roman"/>
        </w:rPr>
      </w:pPr>
      <w:r>
        <w:rPr/>
        <w:t>(b)  </w:t>
        <w:tab/>
        <w:t>Upon receipt of the Call Price pursuant to Section 8.2(a), the Trustee shall include any such amount in Available Funds with respect to the Final Distribution (other than any interest received on the Call Price from the Business Day prior to the Settlement Date to the Settlement Date, which interest shall be payable to the Callholder as provided in Section 3.2(a)).</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8.3  </w:t>
        <w:tab/>
      </w:r>
      <w:bookmarkStart w:id="47" w:name="_Toc484274613"/>
      <w:r>
        <w:rPr/>
        <w:t>Early Redemption Right</w:t>
      </w:r>
      <w:r>
        <w:rPr>
          <w:u w:val="none"/>
        </w:rPr>
        <w:t>.</w:t>
      </w:r>
      <w:bookmarkEnd w:id="47"/>
    </w:p>
    <w:p>
      <w:pPr>
        <w:pStyle w:val="Heading3"/>
        <w:widowControl/>
        <w:numPr>
          <w:ilvl w:val="0"/>
          <w:numId w:val="0"/>
        </w:numPr>
        <w:bidi w:val="0"/>
        <w:ind w:firstLine="720"/>
        <w:jc w:val="both"/>
        <w:outlineLvl w:val="2"/>
        <w:rPr>
          <w:rFonts w:ascii="Times New Roman" w:hAnsi="Times New Roman"/>
        </w:rPr>
      </w:pPr>
      <w:r>
        <w:rPr/>
        <w:t>(a)  </w:t>
        <w:tab/>
        <w:t xml:space="preserve">If the Trustee fails to receive notice from the Callholder in accordance with the Call Option on or prior to 4:00 p.m. (New York City time) on the Call Exercise Date that the Callholder intends to exercise the Call Option, the Trustee, on behalf of the Certificateholders, shall, immediately thereafter, give irrevocable written notice to the Company (the “Early Redemption Notice”) that it will exercise the Early Redemption Right on the Settlement Date in accordance with the terms of the Notes and the Indenture. </w:t>
      </w:r>
    </w:p>
    <w:p>
      <w:pPr>
        <w:pStyle w:val="Heading3"/>
        <w:widowControl/>
        <w:numPr>
          <w:ilvl w:val="0"/>
          <w:numId w:val="0"/>
        </w:numPr>
        <w:bidi w:val="0"/>
        <w:ind w:firstLine="720"/>
        <w:jc w:val="both"/>
        <w:outlineLvl w:val="2"/>
        <w:rPr>
          <w:rFonts w:ascii="Times New Roman" w:hAnsi="Times New Roman"/>
        </w:rPr>
      </w:pPr>
      <w:r>
        <w:rPr/>
        <w:t>(b)  </w:t>
        <w:tab/>
        <w:t>Subject to prior compliance with Section 8.3(a), the Early Redemption Right shall be exercised by the Trustee by delivery of the Notes to the Company at the time and in the manner specified in the Notes, together with such other documents as may be required by, and by satisfying such other applicable terms of, the Notes.</w:t>
      </w:r>
    </w:p>
    <w:p>
      <w:pPr>
        <w:pStyle w:val="Heading3"/>
        <w:widowControl/>
        <w:numPr>
          <w:ilvl w:val="0"/>
          <w:numId w:val="0"/>
        </w:numPr>
        <w:bidi w:val="0"/>
        <w:ind w:firstLine="720"/>
        <w:jc w:val="both"/>
        <w:outlineLvl w:val="2"/>
        <w:rPr>
          <w:rFonts w:ascii="Times New Roman" w:hAnsi="Times New Roman"/>
        </w:rPr>
      </w:pPr>
      <w:r>
        <w:rPr/>
        <w:t>(c)  </w:t>
        <w:tab/>
        <w:t>Notwithstanding any other term of this Agreement, if the Callholder exercises the Call Option in accordance with the terms thereof but fails to make payment in full thereon by 2:00 p.m. (London time) on the Business Day preceding the Settlement Date, the Trustee, on behalf of the Trust, shall, immediately upon notice of or the occurrence of such default by the Callholder, give irrevocable written notice to the Company that it will exercise the Early Redemption Right on the Settlement Date in accordance with the terms of the Notes. In such event, the Early Redemption Right shall then be exercised by the Trustee by surrender of the Notes to the Company at the time and in the manner specified in the Notes, together with such other documents as may be required by, and by satisfying any other applicable terms of, the Notes.</w:t>
      </w:r>
    </w:p>
    <w:p>
      <w:pPr>
        <w:pStyle w:val="Heading1"/>
        <w:widowControl/>
        <w:numPr>
          <w:ilvl w:val="0"/>
          <w:numId w:val="0"/>
        </w:numPr>
        <w:bidi w:val="0"/>
        <w:outlineLvl w:val="0"/>
        <w:rPr>
          <w:rFonts w:ascii="Times New Roman" w:hAnsi="Times New Roman"/>
        </w:rPr>
      </w:pPr>
      <w:r>
        <w:rPr>
          <w:caps/>
          <w:u w:val="none"/>
        </w:rPr>
        <w:t xml:space="preserve">Article IX </w:t>
      </w:r>
      <w:r>
        <w:rPr/>
        <w:br/>
        <w:br/>
      </w:r>
      <w:bookmarkStart w:id="48" w:name="_Toc484274614"/>
      <w:r>
        <w:rPr/>
        <w:t>Concerning the Trustee</w:t>
      </w:r>
      <w:bookmarkEnd w:id="4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9.1  </w:t>
        <w:tab/>
      </w:r>
      <w:bookmarkStart w:id="49" w:name="_Toc484274615"/>
      <w:r>
        <w:rPr/>
        <w:t>Duties of Trustee; Notice of Defaults</w:t>
      </w:r>
      <w:r>
        <w:rPr>
          <w:u w:val="none"/>
        </w:rPr>
        <w:t>.</w:t>
      </w:r>
      <w:bookmarkEnd w:id="49"/>
    </w:p>
    <w:p>
      <w:pPr>
        <w:pStyle w:val="Heading3"/>
        <w:widowControl/>
        <w:numPr>
          <w:ilvl w:val="0"/>
          <w:numId w:val="0"/>
        </w:numPr>
        <w:bidi w:val="0"/>
        <w:ind w:firstLine="720"/>
        <w:jc w:val="both"/>
        <w:outlineLvl w:val="2"/>
        <w:rPr>
          <w:rFonts w:ascii="Times New Roman" w:hAnsi="Times New Roman"/>
        </w:rPr>
      </w:pPr>
      <w:r>
        <w:rPr/>
        <w:t>(a)  </w:t>
        <w:tab/>
        <w:t>The Trustee, prior to the occurrence of an Event of Default and after the curing or waiver of all such Events of Default that may have occurred, undertakes to perform such duties and only such duties as are specifically set forth in this Agreement, the Currency Swap and the Call Option. During the period an Event of Default shall have occurred and be continuing, the Trustee shall exercise such of the rights and powers vested in it by this Agreement, and shall use the same degree of care and skill in their exercise, as a prudent person would exercise or use under the circumstances in the conduct of such person’s own affairs. Any permissive right of the Trustee enumerated in this Agreement shall not be construed as a duty. In the event of any payment default by the Swap Counterparty under the Currency Swap, the Trustee shall provide a notice to the Swap Counterparty of such default in the form of Exhibit D, and the Currency Swap shall terminate on the third Business Day following such default unless it is remedied before such date. In the event of any payment default by the Callholder under the Call Option, the Trustee shall provide a notice to the Callholder of such default in the form of Exhibit E, and the Call Option shall immediately terminate.</w:t>
      </w:r>
    </w:p>
    <w:p>
      <w:pPr>
        <w:pStyle w:val="Heading3"/>
        <w:widowControl/>
        <w:numPr>
          <w:ilvl w:val="0"/>
          <w:numId w:val="0"/>
        </w:numPr>
        <w:bidi w:val="0"/>
        <w:ind w:firstLine="720"/>
        <w:jc w:val="both"/>
        <w:outlineLvl w:val="2"/>
        <w:rPr>
          <w:rFonts w:ascii="Times New Roman" w:hAnsi="Times New Roman"/>
        </w:rPr>
      </w:pPr>
      <w:r>
        <w:rPr/>
        <w:t>(b)  </w:t>
        <w:tab/>
        <w:t xml:space="preserve">The Trustee, upon receipt of all resolutions, certificates, statements, opinions, reports, documents, orders or other instruments </w:t>
      </w:r>
      <w:r>
        <w:rPr>
          <w:strike/>
        </w:rPr>
        <w:t>furnished to the Trustee</w:t>
      </w:r>
      <w:r>
        <w:rPr/>
        <w:t xml:space="preserve"> that are specifically required to be furnished </w:t>
      </w:r>
      <w:r>
        <w:rPr>
          <w:u w:val="double"/>
        </w:rPr>
        <w:t>to the Trustee</w:t>
      </w:r>
      <w:r>
        <w:rPr/>
        <w:t xml:space="preserve"> pursuant to any provision of this Agreement, shall examine them in good faith to determine whether they conform on their face to the requirements of this Agreement. If any such instrument is found not to conform to the requirements of this Agreement, the Trustee shall take such action as it deems appropriate to have the instrument corrected, and if the instrument is not corrected to the Trustee’s satisfaction, the Trustee will provide notice thereof to the Company and </w:t>
      </w:r>
      <w:r>
        <w:rPr>
          <w:u w:val="double"/>
        </w:rPr>
        <w:t>the</w:t>
      </w:r>
      <w:r>
        <w:rPr/>
        <w:t xml:space="preserve"> Certificateholders.</w:t>
      </w:r>
    </w:p>
    <w:p>
      <w:pPr>
        <w:pStyle w:val="Heading3"/>
        <w:widowControl/>
        <w:numPr>
          <w:ilvl w:val="0"/>
          <w:numId w:val="0"/>
        </w:numPr>
        <w:bidi w:val="0"/>
        <w:ind w:firstLine="720"/>
        <w:jc w:val="both"/>
        <w:outlineLvl w:val="2"/>
        <w:rPr>
          <w:rFonts w:ascii="Times New Roman" w:hAnsi="Times New Roman"/>
        </w:rPr>
      </w:pPr>
      <w:r>
        <w:rPr/>
        <w:t>(c)  </w:t>
        <w:tab/>
        <w:t xml:space="preserve">No provision of this Agreement shall be construed to relieve the Trustee from liability for its own negligent action, its own negligent failure to act or its own </w:t>
      </w:r>
      <w:r>
        <w:rPr>
          <w:u w:val="double"/>
        </w:rPr>
        <w:t>willful</w:t>
      </w:r>
      <w:r>
        <w:rPr/>
        <w:t xml:space="preserve"> misconduct; </w:t>
      </w:r>
      <w:r>
        <w:rPr>
          <w:i/>
        </w:rPr>
        <w:t>provided, however</w:t>
      </w:r>
      <w:r>
        <w:rPr/>
        <w:t>, that:</w:t>
      </w:r>
    </w:p>
    <w:p>
      <w:pPr>
        <w:pStyle w:val="Heading4"/>
        <w:widowControl/>
        <w:numPr>
          <w:ilvl w:val="0"/>
          <w:numId w:val="0"/>
        </w:numPr>
        <w:bidi w:val="0"/>
        <w:ind w:firstLine="720" w:start="720"/>
        <w:jc w:val="both"/>
        <w:outlineLvl w:val="3"/>
        <w:rPr>
          <w:rFonts w:ascii="Times New Roman" w:hAnsi="Times New Roman"/>
        </w:rPr>
      </w:pPr>
      <w:r>
        <w:rPr/>
        <w:t>(i)</w:t>
        <w:tab/>
        <w:t>the Trustee shall not be personally liable with respect to any action taken, suffered or omitted to be taken by it in good faith in accordance with the direction of Holders of the Required Percentage relating to the time, method and place of conducting any proceeding for any remedy available to the Trustee, or exercising any trust or power conferred upon the Trustee, under this Agreement;</w:t>
      </w:r>
    </w:p>
    <w:p>
      <w:pPr>
        <w:pStyle w:val="Heading4"/>
        <w:widowControl/>
        <w:numPr>
          <w:ilvl w:val="0"/>
          <w:numId w:val="0"/>
        </w:numPr>
        <w:bidi w:val="0"/>
        <w:ind w:firstLine="720" w:start="720"/>
        <w:jc w:val="both"/>
        <w:outlineLvl w:val="3"/>
        <w:rPr>
          <w:rFonts w:ascii="Times New Roman" w:hAnsi="Times New Roman"/>
        </w:rPr>
      </w:pPr>
      <w:r>
        <w:rPr/>
        <w:t>(ii)</w:t>
        <w:tab/>
        <w:t>except for actions expressly authorized by this Agreement, the Trustee shall take no actions reasonably likely to impair the interests of the Trust in any Trust Asset now existing or hereafter acquired or to impair the value of any Trust Asset now existing or hereafter acquired;</w:t>
      </w:r>
    </w:p>
    <w:p>
      <w:pPr>
        <w:pStyle w:val="Heading4"/>
        <w:widowControl/>
        <w:numPr>
          <w:ilvl w:val="0"/>
          <w:numId w:val="0"/>
        </w:numPr>
        <w:bidi w:val="0"/>
        <w:ind w:firstLine="720" w:start="720"/>
        <w:jc w:val="both"/>
        <w:outlineLvl w:val="3"/>
        <w:rPr>
          <w:rFonts w:ascii="Times New Roman" w:hAnsi="Times New Roman"/>
        </w:rPr>
      </w:pPr>
      <w:r>
        <w:rPr/>
        <w:t>(iii)</w:t>
        <w:tab/>
        <w:t>except as expressly provided in this Agreement, the Trustee shall have no power to vary the corpus of the Trust including by (A) accepting any substitute obligation or asset for a Trust Asset initially assigned to the Trustee under Section 2.1, (B) adding any other investment, obligation or security to the Trust or (C) withdrawing from the Trust any Trust Assets; and</w:t>
      </w:r>
    </w:p>
    <w:p>
      <w:pPr>
        <w:pStyle w:val="Heading4"/>
        <w:widowControl/>
        <w:numPr>
          <w:ilvl w:val="0"/>
          <w:numId w:val="0"/>
        </w:numPr>
        <w:bidi w:val="0"/>
        <w:ind w:firstLine="720" w:start="720"/>
        <w:jc w:val="both"/>
        <w:outlineLvl w:val="3"/>
        <w:rPr>
          <w:rFonts w:ascii="Times New Roman" w:hAnsi="Times New Roman"/>
        </w:rPr>
      </w:pPr>
      <w:r>
        <w:rPr/>
        <w:t>(iv)</w:t>
        <w:tab/>
        <w:t>in the event that the Paying Agent or the Certificate Registrar shall fail to perform any obligation, duty or agreement in the manner or on the day required to be performed by the Paying Agent or Certificate Registrar, as the case may be, under this Agreement, the Trustee shall be obligated promptly upon its knowledge thereof to perform such obligation, duty or agreement in the manner so required.</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9.2  </w:t>
        <w:tab/>
      </w:r>
      <w:bookmarkStart w:id="50" w:name="_Toc484274616"/>
      <w:r>
        <w:rPr/>
        <w:t>Certain Matters Affecting the Trustee</w:t>
      </w:r>
      <w:r>
        <w:rPr>
          <w:u w:val="none"/>
        </w:rPr>
        <w:t>.</w:t>
      </w:r>
      <w:bookmarkEnd w:id="50"/>
    </w:p>
    <w:p>
      <w:pPr>
        <w:pStyle w:val="Heading3"/>
        <w:widowControl/>
        <w:numPr>
          <w:ilvl w:val="0"/>
          <w:numId w:val="0"/>
        </w:numPr>
        <w:bidi w:val="0"/>
        <w:ind w:firstLine="720"/>
        <w:jc w:val="both"/>
        <w:outlineLvl w:val="2"/>
        <w:rPr>
          <w:rFonts w:ascii="Times New Roman" w:hAnsi="Times New Roman"/>
        </w:rPr>
      </w:pPr>
      <w:r>
        <w:rPr/>
        <w:t>(a)  </w:t>
        <w:tab/>
        <w:t>Except as otherwise provided in Section 9.1:</w:t>
      </w:r>
    </w:p>
    <w:p>
      <w:pPr>
        <w:pStyle w:val="Heading4"/>
        <w:widowControl/>
        <w:numPr>
          <w:ilvl w:val="0"/>
          <w:numId w:val="0"/>
        </w:numPr>
        <w:bidi w:val="0"/>
        <w:ind w:firstLine="720" w:start="720"/>
        <w:jc w:val="both"/>
        <w:outlineLvl w:val="3"/>
        <w:rPr>
          <w:rFonts w:ascii="Times New Roman" w:hAnsi="Times New Roman"/>
        </w:rPr>
      </w:pPr>
      <w:r>
        <w:rPr/>
        <w:t>(i)</w:t>
        <w:tab/>
        <w:t>the Trustee may request and rely upon</w:t>
      </w:r>
      <w:r>
        <w:rPr>
          <w:u w:val="double"/>
        </w:rPr>
        <w:t>,</w:t>
      </w:r>
      <w:r>
        <w:rPr/>
        <w:t xml:space="preserve"> and shall be protected in acting or refraining from acting upon</w:t>
      </w:r>
      <w:r>
        <w:rPr>
          <w:u w:val="double"/>
        </w:rPr>
        <w:t>,</w:t>
      </w:r>
      <w:r>
        <w:rPr/>
        <w:t xml:space="preserve"> any resolution, Officer’s Certificate, certificate of auditors or </w:t>
      </w:r>
      <w:r>
        <w:rPr>
          <w:strike/>
        </w:rPr>
        <w:t>any</w:t>
      </w:r>
      <w:r>
        <w:rPr/>
        <w:t xml:space="preserve"> other certificate, statement, instrument, opinion, report, notice, request, consent, order, appraisal, bond or other paper or document reasonably believed by it to be genuine and to have been signed or presented by the proper party or parties;</w:t>
      </w:r>
    </w:p>
    <w:p>
      <w:pPr>
        <w:pStyle w:val="Heading4"/>
        <w:widowControl/>
        <w:numPr>
          <w:ilvl w:val="0"/>
          <w:numId w:val="0"/>
        </w:numPr>
        <w:bidi w:val="0"/>
        <w:ind w:firstLine="720" w:start="720"/>
        <w:jc w:val="both"/>
        <w:outlineLvl w:val="3"/>
        <w:rPr>
          <w:rFonts w:ascii="Times New Roman" w:hAnsi="Times New Roman"/>
        </w:rPr>
      </w:pPr>
      <w:r>
        <w:rPr/>
        <w:t>(ii)</w:t>
        <w:tab/>
        <w:t>the Trustee may consult with counsel of its selection</w:t>
      </w:r>
      <w:r>
        <w:rPr>
          <w:u w:val="double"/>
        </w:rPr>
        <w:t>,</w:t>
      </w:r>
      <w:r>
        <w:rPr/>
        <w:t xml:space="preserve"> and any advice of such counsel or any Opinion of Counsel shall be full and complete authorization and protection in respect of any action taken </w:t>
      </w:r>
      <w:r>
        <w:rPr>
          <w:strike/>
        </w:rPr>
        <w:t>or</w:t>
      </w:r>
      <w:r>
        <w:rPr>
          <w:u w:val="double"/>
        </w:rPr>
        <w:t>,</w:t>
      </w:r>
      <w:r>
        <w:rPr/>
        <w:t xml:space="preserve"> suffered or omitted by it hereunder in good faith and in accordance with such advice or Opinion of Counsel;</w:t>
      </w:r>
    </w:p>
    <w:p>
      <w:pPr>
        <w:pStyle w:val="Heading4"/>
        <w:widowControl/>
        <w:numPr>
          <w:ilvl w:val="0"/>
          <w:numId w:val="0"/>
        </w:numPr>
        <w:bidi w:val="0"/>
        <w:ind w:firstLine="720" w:start="720"/>
        <w:jc w:val="both"/>
        <w:outlineLvl w:val="3"/>
        <w:rPr>
          <w:rFonts w:ascii="Times New Roman" w:hAnsi="Times New Roman"/>
        </w:rPr>
      </w:pPr>
      <w:r>
        <w:rPr/>
        <w:t>(iii)</w:t>
        <w:tab/>
        <w:t xml:space="preserve">the Trustee shall be under no obligation to exercise any of the trusts or powers vested in it by this Agreement or to institute, conduct or defend any litigation hereunder or in relation hereto, at the request, order or direction of any of the Certificateholders, pursuant to the provisions of this Agreement, unless such Certificateholders shall have offered to the Trustee reasonable security or indemnity against the costs, expenses and liabilities that may be incurred therein or thereby; </w:t>
      </w:r>
      <w:r>
        <w:rPr>
          <w:i/>
        </w:rPr>
        <w:t>provided, however</w:t>
      </w:r>
      <w:r>
        <w:rPr/>
        <w:t>, that nothing contained herein shall relieve the Trustee of the obligations, upon the occurrence of an Event of Default (which has not been cured or waived), to exercise such of the rights and powers vested in it by this Agreement, and to use the same degree of care and skill in their exercise</w:t>
      </w:r>
      <w:r>
        <w:rPr>
          <w:u w:val="double"/>
        </w:rPr>
        <w:t>,</w:t>
      </w:r>
      <w:r>
        <w:rPr/>
        <w:t xml:space="preserve"> as a prudent person would exercise or use under the circumstances in the conduct of such person’s own affairs;</w:t>
      </w:r>
    </w:p>
    <w:p>
      <w:pPr>
        <w:pStyle w:val="Heading4"/>
        <w:widowControl/>
        <w:numPr>
          <w:ilvl w:val="0"/>
          <w:numId w:val="0"/>
        </w:numPr>
        <w:bidi w:val="0"/>
        <w:ind w:firstLine="720" w:start="720"/>
        <w:jc w:val="both"/>
        <w:outlineLvl w:val="3"/>
        <w:rPr>
          <w:rFonts w:ascii="Times New Roman" w:hAnsi="Times New Roman"/>
        </w:rPr>
      </w:pPr>
      <w:r>
        <w:rPr/>
        <w:t>(iv)</w:t>
        <w:tab/>
        <w:t>the Trustee shall not be personally liable for any action taken, suffered or omitted by it in good faith and believed by it to be authorized or within the discretion</w:t>
      </w:r>
      <w:r>
        <w:rPr>
          <w:u w:val="double"/>
        </w:rPr>
        <w:t>,</w:t>
      </w:r>
      <w:r>
        <w:rPr/>
        <w:t xml:space="preserve"> or rights or powers conferred upon it by this Agreement;</w:t>
      </w:r>
    </w:p>
    <w:p>
      <w:pPr>
        <w:pStyle w:val="Heading4"/>
        <w:widowControl/>
        <w:numPr>
          <w:ilvl w:val="0"/>
          <w:numId w:val="0"/>
        </w:numPr>
        <w:bidi w:val="0"/>
        <w:ind w:firstLine="720" w:start="720"/>
        <w:jc w:val="both"/>
        <w:outlineLvl w:val="3"/>
        <w:rPr>
          <w:rFonts w:ascii="Times New Roman" w:hAnsi="Times New Roman"/>
        </w:rPr>
      </w:pPr>
      <w:r>
        <w:rPr/>
        <w:t>(v)</w:t>
        <w:tab/>
        <w:t xml:space="preserve">the Trustee shall not be bound to make any investigation into the facts or matters stated in any resolution, certificate, statement, instrument, opinion, report, notice, request, consent, order, appraisal, approval, bond or other paper or document believed by it to be genuine, unless requested in writing to do so by Holders of the Required Percentage; </w:t>
      </w:r>
      <w:r>
        <w:rPr>
          <w:i/>
        </w:rPr>
        <w:t>provided, however</w:t>
      </w:r>
      <w:r>
        <w:rPr/>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Agreement, the Trustee may require reasonable indemnity against such expense or liability as a condition to taking any such action; and</w:t>
      </w:r>
    </w:p>
    <w:p>
      <w:pPr>
        <w:pStyle w:val="Heading4"/>
        <w:widowControl/>
        <w:numPr>
          <w:ilvl w:val="0"/>
          <w:numId w:val="0"/>
        </w:numPr>
        <w:bidi w:val="0"/>
        <w:ind w:firstLine="720" w:start="720"/>
        <w:jc w:val="both"/>
        <w:outlineLvl w:val="3"/>
        <w:rPr>
          <w:rFonts w:ascii="Times New Roman" w:hAnsi="Times New Roman"/>
        </w:rPr>
      </w:pPr>
      <w:r>
        <w:rPr/>
        <w:t>(vi)</w:t>
        <w:tab/>
        <w:t>the Trustee may execute any of the trusts or powers hereunder or perform any duties hereunder either directly or by or through agents or attorneys or a custodian.</w:t>
      </w:r>
    </w:p>
    <w:p>
      <w:pPr>
        <w:pStyle w:val="Heading3"/>
        <w:widowControl/>
        <w:numPr>
          <w:ilvl w:val="0"/>
          <w:numId w:val="0"/>
        </w:numPr>
        <w:bidi w:val="0"/>
        <w:ind w:firstLine="720"/>
        <w:jc w:val="both"/>
        <w:outlineLvl w:val="2"/>
        <w:rPr>
          <w:rFonts w:ascii="Times New Roman" w:hAnsi="Times New Roman"/>
        </w:rPr>
      </w:pPr>
      <w:r>
        <w:rPr/>
        <w:t>(b)  </w:t>
        <w:tab/>
        <w:t>All rights of action under this Agreement or under any of the Certificates, enforceable by the Trustee, may be enforced by it without the possession of any of the Certificates, or the production thereof at the trial or other Proceeding relating thereto, and any such Proceeding instituted by the Trustee shall be brought in its name for the benefit of all the Holders of such Certificates, subject to the provisions of this Agreement.</w:t>
      </w:r>
    </w:p>
    <w:p>
      <w:pPr>
        <w:pStyle w:val="Heading2"/>
        <w:widowControl/>
        <w:numPr>
          <w:ilvl w:val="0"/>
          <w:numId w:val="0"/>
        </w:numPr>
        <w:bidi w:val="0"/>
        <w:ind w:firstLine="720"/>
        <w:jc w:val="both"/>
        <w:outlineLvl w:val="1"/>
        <w:rPr>
          <w:rFonts w:ascii="Times New Roman" w:hAnsi="Times New Roman"/>
          <w:vanish/>
        </w:rPr>
      </w:pPr>
      <w:r>
        <w:rPr>
          <w:caps/>
          <w:u w:val="none"/>
        </w:rPr>
        <w:t>Section 9.3  </w:t>
        <w:tab/>
      </w:r>
      <w:bookmarkStart w:id="51" w:name="_Toc484274617"/>
      <w:r>
        <w:rPr/>
        <w:t>Trustee Not Liable for Recitals in Certificates or Trust Assets</w:t>
      </w:r>
      <w:r>
        <w:rPr>
          <w:u w:val="none"/>
        </w:rPr>
        <w:t>.</w:t>
      </w:r>
      <w:bookmarkEnd w:id="51"/>
      <w:r>
        <w:rPr>
          <w:u w:val="none"/>
        </w:rPr>
        <w:t xml:space="preserve"> </w:t>
      </w:r>
    </w:p>
    <w:p>
      <w:pPr>
        <w:pStyle w:val="BodyText"/>
        <w:widowControl/>
        <w:bidi w:val="0"/>
        <w:jc w:val="both"/>
        <w:rPr>
          <w:rFonts w:ascii="Times New Roman" w:hAnsi="Times New Roman"/>
        </w:rPr>
      </w:pPr>
      <w:r>
        <w:rPr/>
        <w:t>The Trustee assumes no responsibility for the correctness of the recitals contained herein and in the Certificates or in any document issued in connection with the sale of the Certificates (other than the Trustee’s signature and authentication on the Certificates). Except as set forth in Section 9.11, the Trustee makes no representations or warranties as to the validity or sufficiency of this Agreement or of the Certificates (other than the Trustee’s signature and authentication on the Certificates) or of any Trust Asset or related document.</w:t>
      </w:r>
    </w:p>
    <w:p>
      <w:pPr>
        <w:pStyle w:val="Heading2"/>
        <w:widowControl/>
        <w:numPr>
          <w:ilvl w:val="0"/>
          <w:numId w:val="0"/>
        </w:numPr>
        <w:bidi w:val="0"/>
        <w:ind w:firstLine="720"/>
        <w:jc w:val="both"/>
        <w:outlineLvl w:val="1"/>
        <w:rPr>
          <w:rFonts w:ascii="Times New Roman" w:hAnsi="Times New Roman"/>
          <w:vanish/>
        </w:rPr>
      </w:pPr>
      <w:r>
        <w:rPr>
          <w:caps/>
          <w:u w:val="none"/>
        </w:rPr>
        <w:t>Section 9.4  </w:t>
        <w:tab/>
      </w:r>
      <w:bookmarkStart w:id="52" w:name="_Toc484274618"/>
      <w:r>
        <w:rPr/>
        <w:t>Trustee May Own Certificates</w:t>
      </w:r>
      <w:r>
        <w:rPr>
          <w:u w:val="none"/>
        </w:rPr>
        <w:t>.</w:t>
      </w:r>
      <w:bookmarkEnd w:id="52"/>
      <w:r>
        <w:rPr>
          <w:u w:val="none"/>
        </w:rPr>
        <w:t xml:space="preserve"> </w:t>
      </w:r>
    </w:p>
    <w:p>
      <w:pPr>
        <w:pStyle w:val="BodyText"/>
        <w:widowControl/>
        <w:bidi w:val="0"/>
        <w:jc w:val="both"/>
        <w:rPr>
          <w:rFonts w:ascii="Times New Roman" w:hAnsi="Times New Roman"/>
        </w:rPr>
      </w:pPr>
      <w:r>
        <w:rPr/>
        <w:t>The Trustee</w:t>
      </w:r>
      <w:r>
        <w:rPr>
          <w:u w:val="double"/>
        </w:rPr>
        <w:t>,</w:t>
      </w:r>
      <w:r>
        <w:rPr/>
        <w:t xml:space="preserve"> in its individual capacity or any other capacity</w:t>
      </w:r>
      <w:r>
        <w:rPr>
          <w:u w:val="double"/>
        </w:rPr>
        <w:t>,</w:t>
      </w:r>
      <w:r>
        <w:rPr/>
        <w:t xml:space="preserve"> may become the owner or pledgee of Certificates and may transact business with the other parties hereto with the same rights it would have if it were not Trustee.</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9.5  </w:t>
        <w:tab/>
      </w:r>
      <w:bookmarkStart w:id="53" w:name="_Toc484274619"/>
      <w:r>
        <w:rPr/>
        <w:t>Trustee’s Fees and Expenses; Indemnification</w:t>
      </w:r>
      <w:r>
        <w:rPr>
          <w:u w:val="none"/>
        </w:rPr>
        <w:t>.</w:t>
      </w:r>
      <w:bookmarkEnd w:id="53"/>
    </w:p>
    <w:p>
      <w:pPr>
        <w:pStyle w:val="Heading3"/>
        <w:widowControl/>
        <w:numPr>
          <w:ilvl w:val="0"/>
          <w:numId w:val="0"/>
        </w:numPr>
        <w:bidi w:val="0"/>
        <w:ind w:firstLine="720"/>
        <w:jc w:val="both"/>
        <w:outlineLvl w:val="2"/>
        <w:rPr>
          <w:rFonts w:ascii="Times New Roman" w:hAnsi="Times New Roman"/>
        </w:rPr>
      </w:pPr>
      <w:r>
        <w:rPr/>
        <w:t>(a)  </w:t>
        <w:tab/>
        <w:t>The Trustee shall be paid by the Company as compensation for its services hereunder such fees as have been separately agreed upon from time to time by the Company and the Trustee, and the Trustee shall be entitled to be reimbursed by the Company for its reasonable expenses hereunder, including the reasonable compensation, expenses and disbursements of such agents, representatives, experts and counsel as the Trustee may reasonably employ in connection with the exercise and performance of its rights and its duties hereunder and any investigation in connection therewith.</w:t>
      </w:r>
    </w:p>
    <w:p>
      <w:pPr>
        <w:pStyle w:val="Heading3"/>
        <w:widowControl/>
        <w:numPr>
          <w:ilvl w:val="0"/>
          <w:numId w:val="0"/>
        </w:numPr>
        <w:bidi w:val="0"/>
        <w:ind w:firstLine="720"/>
        <w:jc w:val="both"/>
        <w:outlineLvl w:val="2"/>
        <w:rPr>
          <w:rFonts w:ascii="Times New Roman" w:hAnsi="Times New Roman"/>
        </w:rPr>
      </w:pPr>
      <w:r>
        <w:rPr/>
        <w:t>(b)  </w:t>
        <w:tab/>
        <w:t>The Company shall indemnify and hold harmless the Trustee, the Paying Agent and the Certificate Registrar against any loss, liability or expense incurred in connection with any action relating to or arising out of this Agreement, the Certificates, the Call Option, the Currency Swap, the Early Redemption Right, the Purchase Agreement, as applicable, or the acceptance of the trust created hereby or the performance of the duties of the Trustee, the Paying Agent or the Certificate Registrar hereunder except to the extent that such loss, liability or expense (i) is due to willful misfeasance, bad faith or negligence of the Trustee, the Paying Agent or the Certificate Registrar or (ii) relates to the payment obligations under the Certificates, the Currency Swap or the Call Option.</w:t>
      </w:r>
    </w:p>
    <w:p>
      <w:pPr>
        <w:pStyle w:val="Heading3"/>
        <w:widowControl/>
        <w:numPr>
          <w:ilvl w:val="0"/>
          <w:numId w:val="0"/>
        </w:numPr>
        <w:bidi w:val="0"/>
        <w:ind w:firstLine="720"/>
        <w:jc w:val="both"/>
        <w:outlineLvl w:val="2"/>
        <w:rPr>
          <w:rFonts w:ascii="Times New Roman" w:hAnsi="Times New Roman"/>
        </w:rPr>
      </w:pPr>
      <w:r>
        <w:rPr/>
        <w:t>(c)  </w:t>
        <w:tab/>
        <w:t>The provisions of this Section 9.5 shall survive the resignation or removal of the Trustee, and the termination of this Agreement and the Trust.</w:t>
      </w:r>
    </w:p>
    <w:p>
      <w:pPr>
        <w:pStyle w:val="Heading2"/>
        <w:widowControl/>
        <w:numPr>
          <w:ilvl w:val="0"/>
          <w:numId w:val="0"/>
        </w:numPr>
        <w:bidi w:val="0"/>
        <w:ind w:firstLine="720"/>
        <w:jc w:val="both"/>
        <w:outlineLvl w:val="1"/>
        <w:rPr>
          <w:rFonts w:ascii="Times New Roman" w:hAnsi="Times New Roman"/>
          <w:vanish/>
        </w:rPr>
      </w:pPr>
      <w:r>
        <w:rPr>
          <w:caps/>
          <w:u w:val="none"/>
        </w:rPr>
        <w:t>Section 9.6  </w:t>
        <w:tab/>
      </w:r>
      <w:bookmarkStart w:id="54" w:name="_Toc484274620"/>
      <w:r>
        <w:rPr/>
        <w:t>Eligibility Requirements for Trustee</w:t>
      </w:r>
      <w:r>
        <w:rPr>
          <w:u w:val="none"/>
        </w:rPr>
        <w:t>.</w:t>
      </w:r>
      <w:bookmarkEnd w:id="54"/>
      <w:r>
        <w:rPr>
          <w:u w:val="none"/>
        </w:rPr>
        <w:t xml:space="preserve"> </w:t>
      </w:r>
    </w:p>
    <w:p>
      <w:pPr>
        <w:pStyle w:val="BodyText"/>
        <w:widowControl/>
        <w:bidi w:val="0"/>
        <w:jc w:val="both"/>
        <w:rPr>
          <w:rFonts w:ascii="Times New Roman" w:hAnsi="Times New Roman"/>
        </w:rPr>
      </w:pPr>
      <w:r>
        <w:rPr/>
        <w:t xml:space="preserve">The Trustee hereunder shall at all times be a corporation or an association that is not an Affiliate of the Company (but may have normal banking relationships with the Company and its Affiliates) organized and doing business under the laws of any State or the United States, authorized under such laws to exercise corporate trust powers, having a combined capital and surplus of at least $50,000,000 and subject to supervision or examination by US federal or State authority. If such corporation or association publishes reports of conditions at least annually, pursuant to law or </w:t>
      </w:r>
      <w:r>
        <w:rPr>
          <w:strike/>
        </w:rPr>
        <w:t>to</w:t>
      </w:r>
      <w:r>
        <w:rPr/>
        <w:t xml:space="preserve"> the requirements of the aforesaid supervising or examining authority, then for the purposes of this Section 9.6 the combined capital and surplus of such corporation or association shall be deemed to be its combined capital and surplus as set forth in its most recent report of conditions so published. Such corporation or association must be rated in one of the four highest rating categories by the Rating Agencies.</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9.7  </w:t>
        <w:tab/>
      </w:r>
      <w:bookmarkStart w:id="55" w:name="_Toc484274621"/>
      <w:r>
        <w:rPr/>
        <w:t>Resignation or Removal of the Trustee</w:t>
      </w:r>
      <w:r>
        <w:rPr>
          <w:u w:val="none"/>
        </w:rPr>
        <w:t>.</w:t>
      </w:r>
      <w:bookmarkEnd w:id="55"/>
    </w:p>
    <w:p>
      <w:pPr>
        <w:pStyle w:val="Heading3"/>
        <w:widowControl/>
        <w:numPr>
          <w:ilvl w:val="0"/>
          <w:numId w:val="0"/>
        </w:numPr>
        <w:bidi w:val="0"/>
        <w:ind w:firstLine="720"/>
        <w:jc w:val="both"/>
        <w:outlineLvl w:val="2"/>
        <w:rPr>
          <w:rFonts w:ascii="Times New Roman" w:hAnsi="Times New Roman"/>
        </w:rPr>
      </w:pPr>
      <w:r>
        <w:rPr/>
        <w:t>(a)  </w:t>
        <w:tab/>
        <w:t xml:space="preserve">The Trustee may at any time resign and be discharged from any trust hereby created by giving written notice thereof to the Company, the Rating Agencies and </w:t>
      </w:r>
      <w:r>
        <w:rPr>
          <w:strike/>
        </w:rPr>
        <w:t>to</w:t>
      </w:r>
      <w:r>
        <w:rPr/>
        <w:t xml:space="preserve"> all Certificateholders. Upon receiving notice of resignation, the Company shall promptly appoint a successor trustee by written instrument, in duplicate, which instrument shall be delivered to the resigning Trustee and to the successor trustee. A copy of such instrument shall be delivered to </w:t>
      </w:r>
      <w:r>
        <w:rPr>
          <w:strike/>
        </w:rPr>
        <w:t>such</w:t>
      </w:r>
      <w:r>
        <w:rPr/>
        <w:t xml:space="preserve"> </w:t>
      </w:r>
      <w:r>
        <w:rPr>
          <w:u w:val="double"/>
        </w:rPr>
        <w:t>all</w:t>
      </w:r>
      <w:r>
        <w:rPr/>
        <w:t xml:space="preserve"> Certificateholders by the Company. If no such successor trustee shall have been so appointed and have accepted appointment within 30 days after the giving of such notice of resignation, the resigning Trustee may petition any court of competent jurisdiction for the appointment of a successor trustee.</w:t>
      </w:r>
    </w:p>
    <w:p>
      <w:pPr>
        <w:pStyle w:val="Heading3"/>
        <w:widowControl/>
        <w:numPr>
          <w:ilvl w:val="0"/>
          <w:numId w:val="0"/>
        </w:numPr>
        <w:bidi w:val="0"/>
        <w:ind w:firstLine="720"/>
        <w:jc w:val="both"/>
        <w:outlineLvl w:val="2"/>
        <w:rPr>
          <w:rFonts w:ascii="Times New Roman" w:hAnsi="Times New Roman"/>
        </w:rPr>
      </w:pPr>
      <w:r>
        <w:rPr/>
        <w:t>(b)  </w:t>
        <w:tab/>
        <w:t>If at any time the Trustee shall cease to be eligible in accordance with the provisions of Section 9.6 and shall fail to resign after written request therefor by the Company, or if at any time the Trustee shall become incapable of acting, or shall be adjudged bankrupt or insolvent, or a receiver of the Trustee or of its property shall be appointed, or any public officer shall take charge or control of the Trustee or of its property or affairs for the purpose of rehabilitation, conservation or liquidation, then the Company may remove the Trustee and appoint a successor trustee by written instrument, in duplicate, which instrument shall be delivered to the Trustee so removed and to the successor trustee. A copy of such instrument shall be delivered to the Certificateholders, if any, by the Company.</w:t>
      </w:r>
    </w:p>
    <w:p>
      <w:pPr>
        <w:pStyle w:val="Heading3"/>
        <w:widowControl/>
        <w:numPr>
          <w:ilvl w:val="0"/>
          <w:numId w:val="0"/>
        </w:numPr>
        <w:bidi w:val="0"/>
        <w:ind w:firstLine="720"/>
        <w:jc w:val="both"/>
        <w:outlineLvl w:val="2"/>
        <w:rPr>
          <w:rFonts w:ascii="Times New Roman" w:hAnsi="Times New Roman"/>
        </w:rPr>
      </w:pPr>
      <w:r>
        <w:rPr/>
        <w:t>(c)  </w:t>
        <w:tab/>
        <w:t>Any resignation or removal of the Trustee and appointment of a successor trustee pursuant to any of the provisions of this Section 9.7 shall not become effective until acceptance of appointment by the successor trustee as provided in Section 9.8.</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9.8  </w:t>
        <w:tab/>
      </w:r>
      <w:bookmarkStart w:id="56" w:name="_Toc484274622"/>
      <w:r>
        <w:rPr/>
        <w:t>Successor Trustee</w:t>
      </w:r>
      <w:r>
        <w:rPr>
          <w:u w:val="none"/>
        </w:rPr>
        <w:t>.</w:t>
      </w:r>
      <w:bookmarkEnd w:id="56"/>
    </w:p>
    <w:p>
      <w:pPr>
        <w:pStyle w:val="Heading3"/>
        <w:widowControl/>
        <w:numPr>
          <w:ilvl w:val="0"/>
          <w:numId w:val="0"/>
        </w:numPr>
        <w:bidi w:val="0"/>
        <w:ind w:firstLine="720"/>
        <w:jc w:val="both"/>
        <w:outlineLvl w:val="2"/>
        <w:rPr>
          <w:rFonts w:ascii="Times New Roman" w:hAnsi="Times New Roman"/>
        </w:rPr>
      </w:pPr>
      <w:r>
        <w:rPr/>
        <w:t>(a)  </w:t>
        <w:tab/>
        <w:t>Any successor trustee appointed as provided in Section 9.7 shall execute, acknowledge and deliver to the Company and to its predecessor trustee an instrument accepting such appointment hereunder, and thereupon the resignation or removal of the predecessor trustee shall become effective and such successor trustee, without any further act, deed or conveyance, shall become fully vested with all the rights, powers, duties and obligations of its predecessor hereunder, with the like effect as if originally named as trustee herein. The predecessor trustee shall deliver to the successor trustee all Trust Assets, documents and statements held by it hereunder, and the Company and the predecessor trustee shall execute and deliver such instruments and do such other things as may reasonably be required for more fully and certainly vesting and confirming in the successor trustee all such rights, powers, duties and obligations. No successor trustee shall accept appointment as provided in this Section 9.8 unless at the time of such acceptance such successor trustee shall be eligible under the provisions of Section 9.6.</w:t>
      </w:r>
    </w:p>
    <w:p>
      <w:pPr>
        <w:pStyle w:val="Heading3"/>
        <w:widowControl/>
        <w:numPr>
          <w:ilvl w:val="0"/>
          <w:numId w:val="0"/>
        </w:numPr>
        <w:bidi w:val="0"/>
        <w:ind w:firstLine="720"/>
        <w:jc w:val="both"/>
        <w:outlineLvl w:val="2"/>
        <w:rPr>
          <w:rFonts w:ascii="Times New Roman" w:hAnsi="Times New Roman"/>
        </w:rPr>
      </w:pPr>
      <w:r>
        <w:rPr/>
        <w:t>(b)  </w:t>
        <w:tab/>
        <w:t>Upon acceptance of appointment by a successor trustee as provided in this Section 9.8, the Company shall transmit notice of the succession of such trustee hereunder to all Holders of Certificates and to the Rating Agencies in the manner provided in Section 11.6.</w:t>
      </w:r>
    </w:p>
    <w:p>
      <w:pPr>
        <w:pStyle w:val="Heading2"/>
        <w:widowControl/>
        <w:numPr>
          <w:ilvl w:val="0"/>
          <w:numId w:val="0"/>
        </w:numPr>
        <w:bidi w:val="0"/>
        <w:ind w:firstLine="720"/>
        <w:jc w:val="both"/>
        <w:outlineLvl w:val="1"/>
        <w:rPr>
          <w:rFonts w:ascii="Times New Roman" w:hAnsi="Times New Roman"/>
          <w:vanish/>
        </w:rPr>
      </w:pPr>
      <w:r>
        <w:rPr>
          <w:caps/>
          <w:u w:val="none"/>
        </w:rPr>
        <w:t>Section 9.9  </w:t>
        <w:tab/>
      </w:r>
      <w:bookmarkStart w:id="57" w:name="_Toc484274623"/>
      <w:r>
        <w:rPr/>
        <w:t>Merger or Consolidation of Trustee</w:t>
      </w:r>
      <w:r>
        <w:rPr>
          <w:u w:val="none"/>
        </w:rPr>
        <w:t>.</w:t>
      </w:r>
      <w:bookmarkEnd w:id="57"/>
      <w:r>
        <w:rPr>
          <w:u w:val="none"/>
        </w:rPr>
        <w:t xml:space="preserve"> </w:t>
      </w:r>
    </w:p>
    <w:p>
      <w:pPr>
        <w:pStyle w:val="BodyText"/>
        <w:widowControl/>
        <w:bidi w:val="0"/>
        <w:jc w:val="both"/>
        <w:rPr>
          <w:rFonts w:ascii="Times New Roman" w:hAnsi="Times New Roman"/>
        </w:rPr>
      </w:pPr>
      <w:r>
        <w:rPr/>
        <w:t>Any corporation or association into which the Trustee may be merged or converted or with which it may be consolidated or any corporation or association resulting from any merger, conversion or consolidation to which the Trustee shall be a party, or any corporation or association succeeding to the business of the Trustee, or any corporation or association purchasing all, or substantially all, of the corporate trust business of the Trustee shall be the successor of the Trustee hereunder, provided such corporation or association shall be eligible under the provisions of Section 9.6, without the execution or filing of any instrument or any further act on the part of any of the parties hereto, anything herein to the contrary notwithstanding.</w:t>
      </w:r>
    </w:p>
    <w:p>
      <w:pPr>
        <w:pStyle w:val="Heading2"/>
        <w:widowControl/>
        <w:numPr>
          <w:ilvl w:val="0"/>
          <w:numId w:val="0"/>
        </w:numPr>
        <w:bidi w:val="0"/>
        <w:ind w:firstLine="720"/>
        <w:jc w:val="both"/>
        <w:outlineLvl w:val="1"/>
        <w:rPr>
          <w:rFonts w:ascii="Times New Roman" w:hAnsi="Times New Roman"/>
          <w:vanish/>
        </w:rPr>
      </w:pPr>
      <w:r>
        <w:rPr>
          <w:caps/>
          <w:u w:val="none"/>
        </w:rPr>
        <w:t>Section 9.10  </w:t>
        <w:tab/>
      </w:r>
      <w:bookmarkStart w:id="58" w:name="_Toc484274624"/>
      <w:r>
        <w:rPr/>
        <w:t>Appointment of Office or Agency</w:t>
      </w:r>
      <w:r>
        <w:rPr>
          <w:u w:val="none"/>
        </w:rPr>
        <w:t>.</w:t>
      </w:r>
      <w:bookmarkEnd w:id="58"/>
      <w:r>
        <w:rPr>
          <w:u w:val="none"/>
        </w:rPr>
        <w:t xml:space="preserve"> </w:t>
      </w:r>
    </w:p>
    <w:p>
      <w:pPr>
        <w:pStyle w:val="BodyText"/>
        <w:widowControl/>
        <w:bidi w:val="0"/>
        <w:jc w:val="both"/>
        <w:rPr>
          <w:rFonts w:ascii="Times New Roman" w:hAnsi="Times New Roman"/>
        </w:rPr>
      </w:pPr>
      <w:r>
        <w:rPr/>
        <w:t>The Trustee shall appoint an office or agency in The City of New York where the Certificates may be surrendered for registration of transfer or exchange, and presented for the Final Distribution with respect thereto, and where notices and demands to or upon the Trustee in respect of the Certificates and this Agreement may be served. The Trustee initially appoints its Corporate Trust Office for such purpose.</w:t>
      </w:r>
    </w:p>
    <w:p>
      <w:pPr>
        <w:pStyle w:val="Heading2"/>
        <w:widowControl/>
        <w:numPr>
          <w:ilvl w:val="0"/>
          <w:numId w:val="0"/>
        </w:numPr>
        <w:bidi w:val="0"/>
        <w:ind w:firstLine="720"/>
        <w:jc w:val="both"/>
        <w:outlineLvl w:val="1"/>
        <w:rPr>
          <w:rFonts w:ascii="Times New Roman" w:hAnsi="Times New Roman"/>
          <w:vanish/>
        </w:rPr>
      </w:pPr>
      <w:r>
        <w:rPr>
          <w:caps/>
          <w:u w:val="none"/>
        </w:rPr>
        <w:t>Section 9.11  </w:t>
        <w:tab/>
      </w:r>
      <w:bookmarkStart w:id="59" w:name="_Toc484274625"/>
      <w:r>
        <w:rPr/>
        <w:t>Representations and Warranties of Trustee</w:t>
      </w:r>
      <w:bookmarkEnd w:id="59"/>
    </w:p>
    <w:p>
      <w:pPr>
        <w:pStyle w:val="BodyText"/>
        <w:widowControl/>
        <w:bidi w:val="0"/>
        <w:jc w:val="both"/>
        <w:rPr>
          <w:rFonts w:ascii="Times New Roman" w:hAnsi="Times New Roman"/>
        </w:rPr>
      </w:pPr>
      <w:r>
        <w:rPr/>
        <w:t>. The Trustee represents and warrants that:</w:t>
      </w:r>
    </w:p>
    <w:p>
      <w:pPr>
        <w:pStyle w:val="Heading3"/>
        <w:widowControl/>
        <w:numPr>
          <w:ilvl w:val="0"/>
          <w:numId w:val="0"/>
        </w:numPr>
        <w:bidi w:val="0"/>
        <w:ind w:firstLine="720"/>
        <w:jc w:val="both"/>
        <w:outlineLvl w:val="2"/>
        <w:rPr>
          <w:rFonts w:ascii="Times New Roman" w:hAnsi="Times New Roman"/>
        </w:rPr>
      </w:pPr>
      <w:r>
        <w:rPr/>
        <w:t>(a)  </w:t>
        <w:tab/>
        <w:t>the Trustee is duly organized, validly existing and in good standing under the laws of its jurisdiction of incorporation or association;</w:t>
      </w:r>
    </w:p>
    <w:p>
      <w:pPr>
        <w:pStyle w:val="Heading3"/>
        <w:widowControl/>
        <w:numPr>
          <w:ilvl w:val="0"/>
          <w:numId w:val="0"/>
        </w:numPr>
        <w:bidi w:val="0"/>
        <w:ind w:firstLine="720"/>
        <w:jc w:val="both"/>
        <w:outlineLvl w:val="2"/>
        <w:rPr>
          <w:rFonts w:ascii="Times New Roman" w:hAnsi="Times New Roman"/>
        </w:rPr>
      </w:pPr>
      <w:r>
        <w:rPr/>
        <w:t>(b)  </w:t>
        <w:tab/>
        <w:t>neither the execution, the delivery or performance by the Trustee of this Agreement, nor the consummation by it of the transactions contemplated hereby nor compliance by it with any of the terms or provisions hereof will violate its charter documents or by-laws;</w:t>
      </w:r>
    </w:p>
    <w:p>
      <w:pPr>
        <w:pStyle w:val="Heading3"/>
        <w:widowControl/>
        <w:numPr>
          <w:ilvl w:val="0"/>
          <w:numId w:val="0"/>
        </w:numPr>
        <w:bidi w:val="0"/>
        <w:ind w:firstLine="720"/>
        <w:jc w:val="both"/>
        <w:outlineLvl w:val="2"/>
        <w:rPr>
          <w:rFonts w:ascii="Times New Roman" w:hAnsi="Times New Roman"/>
        </w:rPr>
      </w:pPr>
      <w:r>
        <w:rPr/>
        <w:t>(c)  </w:t>
        <w:tab/>
        <w:t>the Trustee has full power, authority and right to execute, deliver and perform its duties and obligations as set forth herein, has taken all necessary action to authorize the execution, delivery and performance by it of this Agreement and has satisfied all of the eligibility requirements set forth in Section 9.6;</w:t>
      </w:r>
    </w:p>
    <w:p>
      <w:pPr>
        <w:pStyle w:val="Heading3"/>
        <w:widowControl/>
        <w:numPr>
          <w:ilvl w:val="0"/>
          <w:numId w:val="0"/>
        </w:numPr>
        <w:bidi w:val="0"/>
        <w:ind w:firstLine="720"/>
        <w:jc w:val="both"/>
        <w:outlineLvl w:val="2"/>
        <w:rPr>
          <w:rFonts w:ascii="Times New Roman" w:hAnsi="Times New Roman"/>
        </w:rPr>
      </w:pPr>
      <w:r>
        <w:rPr/>
        <w:t>(d)  </w:t>
        <w:tab/>
        <w:t>this Agreement has been duly executed and delivered by the Trustee and constitutes the legal, valid and binding obligation of the Trustee, enforceable in accordance with its terms, except as enforcement may be limited by applicable bankruptcy, insolvency, reorganization, moratorium or similar laws affecting the rights of creditors generally and general principles of equity (regardless of whether such enforceability is considered in a proceeding in equity or at law); and</w:t>
      </w:r>
    </w:p>
    <w:p>
      <w:pPr>
        <w:pStyle w:val="Heading3"/>
        <w:widowControl/>
        <w:numPr>
          <w:ilvl w:val="0"/>
          <w:numId w:val="0"/>
        </w:numPr>
        <w:bidi w:val="0"/>
        <w:ind w:firstLine="720"/>
        <w:jc w:val="both"/>
        <w:outlineLvl w:val="2"/>
        <w:rPr>
          <w:rFonts w:ascii="Times New Roman" w:hAnsi="Times New Roman"/>
        </w:rPr>
      </w:pPr>
      <w:r>
        <w:rPr/>
        <w:t>(e)  </w:t>
        <w:tab/>
        <w:t>the execution, delivery and performance by the Trustee of this Agreement shall not require the authorization, consent or approval of, the giving of notice to, the filing or registration with, or the taking of any other action in respect of, any governmental authority or agency regulating the banking and corporate trust activities of the Trustee.</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9.12  </w:t>
        <w:tab/>
      </w:r>
      <w:bookmarkStart w:id="60" w:name="_Toc484274626"/>
      <w:r>
        <w:rPr/>
        <w:t>Limitation of Powers and Duties</w:t>
      </w:r>
      <w:r>
        <w:rPr>
          <w:u w:val="none"/>
        </w:rPr>
        <w:t>.</w:t>
      </w:r>
      <w:bookmarkEnd w:id="60"/>
    </w:p>
    <w:p>
      <w:pPr>
        <w:pStyle w:val="Heading3"/>
        <w:widowControl/>
        <w:numPr>
          <w:ilvl w:val="0"/>
          <w:numId w:val="0"/>
        </w:numPr>
        <w:bidi w:val="0"/>
        <w:ind w:firstLine="720"/>
        <w:jc w:val="both"/>
        <w:outlineLvl w:val="2"/>
        <w:rPr>
          <w:rFonts w:ascii="Times New Roman" w:hAnsi="Times New Roman"/>
        </w:rPr>
      </w:pPr>
      <w:r>
        <w:rPr/>
        <w:t>(a)  </w:t>
        <w:tab/>
        <w:t>The Trustee shall administer the Trust and the Trust Assets solely as specified herein.</w:t>
      </w:r>
    </w:p>
    <w:p>
      <w:pPr>
        <w:pStyle w:val="Heading3"/>
        <w:widowControl/>
        <w:numPr>
          <w:ilvl w:val="0"/>
          <w:numId w:val="0"/>
        </w:numPr>
        <w:bidi w:val="0"/>
        <w:ind w:firstLine="720"/>
        <w:jc w:val="both"/>
        <w:outlineLvl w:val="2"/>
        <w:rPr>
          <w:rFonts w:ascii="Times New Roman" w:hAnsi="Times New Roman"/>
        </w:rPr>
      </w:pPr>
      <w:r>
        <w:rPr/>
        <w:t>(b)  </w:t>
        <w:tab/>
        <w:t xml:space="preserve">The Trust is constituted solely for the purpose of acquiring and holding the Trust Assets. The Trustee is not authorized to acquire any other investments or engage in any activities not authorized herein, and, in particular, the Trustee is not authorized (i) to sell, assign, transfer, exchange, pledge, set-off or otherwise dispose of any of the Notes, once acquired, or interests therein, including to Certificateholders (except pursuant to the Call Option, the Early Redemption Right and Section 4.2) or (ii) to do anything that would </w:t>
      </w:r>
      <w:r>
        <w:rPr>
          <w:strike/>
        </w:rPr>
        <w:t>alter</w:t>
      </w:r>
      <w:r>
        <w:rPr/>
        <w:t xml:space="preserve"> </w:t>
      </w:r>
      <w:r>
        <w:rPr>
          <w:u w:val="double"/>
        </w:rPr>
        <w:t>affect</w:t>
      </w:r>
      <w:r>
        <w:rPr/>
        <w:t xml:space="preserve"> the status of the Trust as a grantor trust for US federal income tax purposes.</w:t>
      </w:r>
    </w:p>
    <w:p>
      <w:pPr>
        <w:pStyle w:val="Heading3"/>
        <w:widowControl/>
        <w:numPr>
          <w:ilvl w:val="0"/>
          <w:numId w:val="0"/>
        </w:numPr>
        <w:bidi w:val="0"/>
        <w:ind w:firstLine="720"/>
        <w:jc w:val="both"/>
        <w:outlineLvl w:val="2"/>
        <w:rPr>
          <w:rFonts w:ascii="Times New Roman" w:hAnsi="Times New Roman"/>
        </w:rPr>
      </w:pPr>
      <w:r>
        <w:rPr/>
        <w:t>(c)  </w:t>
        <w:tab/>
        <w:t xml:space="preserve">The Trustee, </w:t>
      </w:r>
      <w:r>
        <w:rPr>
          <w:strike/>
        </w:rPr>
        <w:t>as</w:t>
      </w:r>
      <w:r>
        <w:rPr/>
        <w:t xml:space="preserve"> </w:t>
      </w:r>
      <w:r>
        <w:rPr>
          <w:u w:val="double"/>
        </w:rPr>
        <w:t>on behalf of</w:t>
      </w:r>
      <w:r>
        <w:rPr/>
        <w:t xml:space="preserve"> the </w:t>
      </w:r>
      <w:r>
        <w:rPr>
          <w:u w:val="double"/>
        </w:rPr>
        <w:t>Trust as</w:t>
      </w:r>
      <w:r>
        <w:rPr/>
        <w:t xml:space="preserve"> holder of the Notes, has the right to vote and give consents and waivers in respect of the Notes and enforce such other rights of a holder of the Notes except as otherwise limited by this Agreement. In the event that the Trustee receives a request from the Company with respect to the Notes, for the Trustee’s consent to any amendment, modification or waiver of the Notes, or any document thereunder, or relating thereto, or receives any other solicitation for any action with respect to the Notes, the Trustee shall within five Business Days mail a notice of such proposed amendment, modification, waiver or solicitation to each Certificateholder as of the date of such request. The Trustee shall request instructions from the Certificateholders as to what action to take in response to such request. Except as otherwise provided herein, the Trustee shall consent or vote, or refrain from consenting or voting, in the same proportion (based on the Certificate Principal Balances) as the Certificates of the Trust were actually voted or not voted by the Holders thereof as of the date determined by the Trustee prior to the date such vote or consent is required; </w:t>
      </w:r>
      <w:r>
        <w:rPr>
          <w:i/>
        </w:rPr>
        <w:t>provided, however</w:t>
      </w:r>
      <w:r>
        <w:rPr/>
        <w:t xml:space="preserve">, that, notwithstanding anything to the contrary in this Agreement, the Trustee shall at no time vote in favor of or consent to any matter (i) unless such vote or consent would not, based on an Opinion of Counsel, </w:t>
      </w:r>
      <w:r>
        <w:rPr>
          <w:strike/>
        </w:rPr>
        <w:t>alter</w:t>
      </w:r>
      <w:r>
        <w:rPr/>
        <w:t xml:space="preserve"> </w:t>
      </w:r>
      <w:r>
        <w:rPr>
          <w:u w:val="double"/>
        </w:rPr>
        <w:t>affect</w:t>
      </w:r>
      <w:r>
        <w:rPr/>
        <w:t xml:space="preserve"> the status of the Trust as a grantor trust for US federal income tax purposes, (ii) that would alter the amount of any payment on the Notes, other than in connection with a Trust Termination Event or (iii) that would result in the exchange or substitution of any Notes pursuant to a plan for the refunding or refinancing of such Notes, except during the continuation of an Event of Default, or that would otherwise result in a sale or exchange of Certificates for US federal income tax purposes and, in each case, other than in connection with a Trust Termination Event. The Trustee shall have no liability for any failure to act resulting from the Certificateholders’ late return of, or failure to return, directions requested by the Trustee from the Certificateholders.</w:t>
      </w:r>
    </w:p>
    <w:p>
      <w:pPr>
        <w:pStyle w:val="Heading3"/>
        <w:widowControl/>
        <w:numPr>
          <w:ilvl w:val="0"/>
          <w:numId w:val="0"/>
        </w:numPr>
        <w:bidi w:val="0"/>
        <w:ind w:firstLine="720"/>
        <w:jc w:val="both"/>
        <w:outlineLvl w:val="2"/>
        <w:rPr>
          <w:rFonts w:ascii="Times New Roman" w:hAnsi="Times New Roman"/>
        </w:rPr>
      </w:pPr>
      <w:r>
        <w:rPr/>
        <w:t>(d)  </w:t>
        <w:tab/>
        <w:t>Notwithstanding any provision of this Agreement to the contrary, for purposes of any security or indemnity against the costs, expenses and liabilities the Trustee may incur by reason of any action undertaken at the direction of the Certificateholders, which the Trustee may require from the Certificateholders prior to taking any such action, an unsecured indemnity agreement of a Certificateholder or any of its Affiliates, if acceptable to the Trustee, shall be deemed sufficient to satisfy such security or indemnity requirement.</w:t>
      </w:r>
    </w:p>
    <w:p>
      <w:pPr>
        <w:pStyle w:val="Heading1"/>
        <w:widowControl/>
        <w:numPr>
          <w:ilvl w:val="0"/>
          <w:numId w:val="0"/>
        </w:numPr>
        <w:bidi w:val="0"/>
        <w:outlineLvl w:val="0"/>
        <w:rPr>
          <w:rFonts w:ascii="Times New Roman" w:hAnsi="Times New Roman"/>
        </w:rPr>
      </w:pPr>
      <w:r>
        <w:rPr>
          <w:caps/>
          <w:u w:val="none"/>
        </w:rPr>
        <w:t xml:space="preserve">Article X </w:t>
      </w:r>
      <w:r>
        <w:rPr/>
        <w:br/>
        <w:br/>
      </w:r>
      <w:bookmarkStart w:id="61" w:name="_Toc484274627"/>
      <w:r>
        <w:rPr/>
        <w:t>Termination</w:t>
      </w:r>
      <w:bookmarkEnd w:id="61"/>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10.1  </w:t>
        <w:tab/>
      </w:r>
      <w:bookmarkStart w:id="62" w:name="_Toc484274628"/>
      <w:r>
        <w:rPr/>
        <w:t>Termination</w:t>
      </w:r>
      <w:r>
        <w:rPr>
          <w:u w:val="none"/>
        </w:rPr>
        <w:t>.</w:t>
      </w:r>
      <w:bookmarkEnd w:id="62"/>
    </w:p>
    <w:p>
      <w:pPr>
        <w:pStyle w:val="Heading3"/>
        <w:widowControl/>
        <w:numPr>
          <w:ilvl w:val="0"/>
          <w:numId w:val="0"/>
        </w:numPr>
        <w:bidi w:val="0"/>
        <w:ind w:firstLine="720"/>
        <w:jc w:val="both"/>
        <w:outlineLvl w:val="2"/>
        <w:rPr>
          <w:rFonts w:ascii="Times New Roman" w:hAnsi="Times New Roman"/>
        </w:rPr>
      </w:pPr>
      <w:r>
        <w:rPr/>
        <w:t>(a)  </w:t>
        <w:tab/>
        <w:t>Upon presentation and surrender of the Certificates by the Certificateholders on the Final Distribution Date, the Trustee shall</w:t>
      </w:r>
      <w:r>
        <w:rPr>
          <w:u w:val="double"/>
        </w:rPr>
        <w:t>, on behalf of the Trust,</w:t>
      </w:r>
      <w:r>
        <w:rPr/>
        <w:t xml:space="preserve"> distribute to each Holder presenting and surrendering its Certificates the amounts distributable to such Holder in accordance with Sections 4.1 and 4.2 in respect of the Certificates so presented and surrendered. Any funds not distributed on the Final Distribution Date shall be set aside and held in trust for the benefit of Certificateholders not presenting and surrendering their Certificates in the aforesaid manner, and shall be disposed of in accordance with Section 4.2(d).</w:t>
      </w:r>
    </w:p>
    <w:p>
      <w:pPr>
        <w:pStyle w:val="Heading3"/>
        <w:widowControl/>
        <w:numPr>
          <w:ilvl w:val="0"/>
          <w:numId w:val="0"/>
        </w:numPr>
        <w:bidi w:val="0"/>
        <w:ind w:firstLine="720"/>
        <w:jc w:val="both"/>
        <w:outlineLvl w:val="2"/>
        <w:rPr>
          <w:rFonts w:ascii="Times New Roman" w:hAnsi="Times New Roman"/>
        </w:rPr>
      </w:pPr>
      <w:r>
        <w:rPr/>
        <w:t>(b)  </w:t>
        <w:tab/>
        <w:t xml:space="preserve">The Trust and the respective obligations and responsibilities under this Agreement of the Company and, except as otherwise provided herein, the Trustee shall terminate upon the completion of the Final Distribution; </w:t>
      </w:r>
      <w:r>
        <w:rPr>
          <w:i/>
        </w:rPr>
        <w:t>provided, however</w:t>
      </w:r>
      <w:r>
        <w:rPr/>
        <w:t xml:space="preserve">, that in no event shall the trust created hereby continue beyond the expiration of 21 years from the death of the last survivor of the descendants of Joseph P. Kennedy, the late ambassador of the United States to the Court of St. James, living on the date hereof. </w:t>
      </w:r>
    </w:p>
    <w:p>
      <w:pPr>
        <w:pStyle w:val="Heading1"/>
        <w:widowControl/>
        <w:numPr>
          <w:ilvl w:val="0"/>
          <w:numId w:val="0"/>
        </w:numPr>
        <w:bidi w:val="0"/>
        <w:outlineLvl w:val="0"/>
        <w:rPr>
          <w:rFonts w:ascii="Times New Roman" w:hAnsi="Times New Roman"/>
        </w:rPr>
      </w:pPr>
      <w:r>
        <w:rPr>
          <w:caps/>
          <w:u w:val="none"/>
        </w:rPr>
        <w:t xml:space="preserve">Article XI </w:t>
      </w:r>
      <w:r>
        <w:rPr/>
        <w:br/>
        <w:br/>
      </w:r>
      <w:bookmarkStart w:id="63" w:name="_Toc484274629"/>
      <w:r>
        <w:rPr/>
        <w:t>Miscellaneous Provisions</w:t>
      </w:r>
      <w:bookmarkEnd w:id="63"/>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11.1  </w:t>
        <w:tab/>
      </w:r>
      <w:bookmarkStart w:id="64" w:name="_Toc484274630"/>
      <w:r>
        <w:rPr/>
        <w:t>Amendment</w:t>
      </w:r>
      <w:r>
        <w:rPr>
          <w:u w:val="none"/>
        </w:rPr>
        <w:t>.</w:t>
      </w:r>
      <w:bookmarkEnd w:id="64"/>
    </w:p>
    <w:p>
      <w:pPr>
        <w:pStyle w:val="Heading3"/>
        <w:widowControl/>
        <w:numPr>
          <w:ilvl w:val="0"/>
          <w:numId w:val="0"/>
        </w:numPr>
        <w:bidi w:val="0"/>
        <w:ind w:firstLine="720"/>
        <w:jc w:val="both"/>
        <w:outlineLvl w:val="2"/>
        <w:rPr>
          <w:rFonts w:ascii="Times New Roman" w:hAnsi="Times New Roman"/>
        </w:rPr>
      </w:pPr>
      <w:r>
        <w:rPr/>
        <w:t>(a)  </w:t>
        <w:tab/>
        <w:t>This Agreement may be amended or modified from time to time by the Company and the Trustee without notice to or the consent of any of the Certificateholders for any of the following purposes: (i) to cure any ambiguity or to correct or supplement any provision herein that may be defective or inconsistent with any other provision herein or in the Currency Swap or in the Call Option; (ii) to add any security interest for the benefit of any Certificateholders; (iii) to add to the covenants, restrictions or obligations of the Company, or the Trustee for the benefit of the Certificateholders; (iv) to add, change or eliminate any other provisions with respect to matters or questions arising under this Agreement, so long as (A) any such amendment described in clauses (i) through (iv) above will not, as evidenced by an Opinion of Counsel, affect the status of the Trust as a “grantor trust” or result in a sale or exchange of any Certificate for US federal income tax purposes and (B) the Rating Agency Condition has been satisfied; (v) to comply with any requirements imposed by the Code; or (vi) to evidence and provide for the acceptance of appointment hereunder by a successor Trustee or to add or change any of the provisions of this Agreement as shall be necessary to provide for or facilitate the administration of the trust hereunder.</w:t>
      </w:r>
    </w:p>
    <w:p>
      <w:pPr>
        <w:pStyle w:val="Heading3"/>
        <w:widowControl/>
        <w:numPr>
          <w:ilvl w:val="0"/>
          <w:numId w:val="0"/>
        </w:numPr>
        <w:bidi w:val="0"/>
        <w:ind w:firstLine="720"/>
        <w:jc w:val="both"/>
        <w:outlineLvl w:val="2"/>
        <w:rPr>
          <w:rFonts w:ascii="Times New Roman" w:hAnsi="Times New Roman"/>
        </w:rPr>
      </w:pPr>
      <w:r>
        <w:rPr/>
        <w:t>(b)  </w:t>
        <w:tab/>
        <w:t xml:space="preserve">Without limiting the generality of the foregoing, this Agreement may also be modified or amended from time to time by the Company, and the Trustee with the consent of the Holders of Certificates representing the Required Percentage—Amendment for the purpose of adding any provisions to or changing in any manner or eliminating any of the provisions of this Agreement or of modifying in any manner the rights of the Holders of Certificates; </w:t>
      </w:r>
      <w:r>
        <w:rPr>
          <w:i/>
        </w:rPr>
        <w:t>provided, however</w:t>
      </w:r>
      <w:r>
        <w:rPr/>
        <w:t>, that no such modification or amendment shall, without the consent of each affected Certificateholder, (i) reduce in any manner the amount of payments received on the Trust Assets or otherwise adversely affect in any material respect the interests of the Certificateholder or (ii) reduce the percentage of aggregate Voting Rights required to modify or amend this Agreement</w:t>
      </w:r>
      <w:r>
        <w:rPr>
          <w:u w:val="double"/>
        </w:rPr>
        <w:t>;</w:t>
      </w:r>
      <w:r>
        <w:rPr/>
        <w:t xml:space="preserve"> and </w:t>
      </w:r>
      <w:r>
        <w:rPr>
          <w:i/>
        </w:rPr>
        <w:t>provided, further</w:t>
      </w:r>
      <w:r>
        <w:rPr/>
        <w:t xml:space="preserve"> that the Company shall furnish to the Trustee an Opinion of Counsel stating that, in the opinion of such counsel, any such modification or amendment would not </w:t>
      </w:r>
      <w:r>
        <w:rPr>
          <w:strike/>
        </w:rPr>
        <w:t>alter</w:t>
      </w:r>
      <w:r>
        <w:rPr/>
        <w:t xml:space="preserve"> </w:t>
      </w:r>
      <w:r>
        <w:rPr>
          <w:u w:val="double"/>
        </w:rPr>
        <w:t>affect</w:t>
      </w:r>
      <w:r>
        <w:rPr/>
        <w:t xml:space="preserve"> the status of the Trust as a “grantor trust” for US federal income tax purposes.</w:t>
      </w:r>
    </w:p>
    <w:p>
      <w:pPr>
        <w:pStyle w:val="Heading3"/>
        <w:widowControl/>
        <w:numPr>
          <w:ilvl w:val="0"/>
          <w:numId w:val="0"/>
        </w:numPr>
        <w:bidi w:val="0"/>
        <w:ind w:firstLine="720"/>
        <w:jc w:val="both"/>
        <w:outlineLvl w:val="2"/>
        <w:rPr>
          <w:rFonts w:ascii="Times New Roman" w:hAnsi="Times New Roman"/>
        </w:rPr>
      </w:pPr>
      <w:r>
        <w:rPr/>
        <w:t>(c)  </w:t>
        <w:tab/>
        <w:t xml:space="preserve">In addition to and notwithstanding anything to the contrary in this Agreement, the Trustee shall not enter into any modification or amendment of this Agreement that would (i) adversely affect in any material respect the interests of the Callholder in the Notes without the consent of the Callholder or (ii) alter the date on which the Call Option is exercisable or the amount payable as a result of the exercise of the Call Option without the consent of the Callholder; </w:t>
      </w:r>
      <w:r>
        <w:rPr>
          <w:i/>
        </w:rPr>
        <w:t>provided, however</w:t>
      </w:r>
      <w:r>
        <w:rPr/>
        <w:t xml:space="preserve">, that the Trustee shall not enter into any modification or amendment of this Agreement unless such modification or amendment would not, based on an Opinion of Counsel, </w:t>
      </w:r>
      <w:r>
        <w:rPr>
          <w:strike/>
        </w:rPr>
        <w:t>alter</w:t>
      </w:r>
      <w:r>
        <w:rPr/>
        <w:t xml:space="preserve"> </w:t>
      </w:r>
      <w:r>
        <w:rPr>
          <w:u w:val="double"/>
        </w:rPr>
        <w:t>affect</w:t>
      </w:r>
      <w:r>
        <w:rPr/>
        <w:t xml:space="preserve"> the status of the Trust as a “grantor trust” or result in a sale or exchange of any Certificates for US federal income tax purposes.</w:t>
      </w:r>
    </w:p>
    <w:p>
      <w:pPr>
        <w:pStyle w:val="Heading3"/>
        <w:widowControl/>
        <w:numPr>
          <w:ilvl w:val="0"/>
          <w:numId w:val="0"/>
        </w:numPr>
        <w:bidi w:val="0"/>
        <w:ind w:firstLine="720"/>
        <w:jc w:val="both"/>
        <w:outlineLvl w:val="2"/>
        <w:rPr>
          <w:rFonts w:ascii="Times New Roman" w:hAnsi="Times New Roman"/>
        </w:rPr>
      </w:pPr>
      <w:r>
        <w:rPr/>
        <w:t>(d)  </w:t>
        <w:tab/>
        <w:t>Promptly after the execution of any such amendment or modification, the Trustee shall furnish a copy of such amendment or modification without charge to each Certificateholder and the Company shall furnish a copy of such amendment or modification to the Rating Agencies. It shall not be necessary to obtain the consent of Certificateholders under this Section 11.1 to approve the particular form of any proposed amendment, but it shall be sufficient if such consent shall approve the substance thereof. The manner of obtaining such consents and of evidencing the authorization of the execution thereof by Certificateholders shall be subject to such reasonable regulations as the Trustee may prescribe.</w:t>
      </w:r>
    </w:p>
    <w:p>
      <w:pPr>
        <w:pStyle w:val="Heading2"/>
        <w:widowControl/>
        <w:numPr>
          <w:ilvl w:val="0"/>
          <w:numId w:val="0"/>
        </w:numPr>
        <w:bidi w:val="0"/>
        <w:ind w:firstLine="720"/>
        <w:jc w:val="both"/>
        <w:outlineLvl w:val="1"/>
        <w:rPr>
          <w:rFonts w:ascii="Times New Roman" w:hAnsi="Times New Roman"/>
          <w:vanish/>
        </w:rPr>
      </w:pPr>
      <w:r>
        <w:rPr>
          <w:caps/>
          <w:u w:val="none"/>
        </w:rPr>
        <w:t>Section 11.2  </w:t>
        <w:tab/>
      </w:r>
      <w:bookmarkStart w:id="65" w:name="_Toc484274631"/>
      <w:r>
        <w:rPr/>
        <w:t>Counterparts</w:t>
      </w:r>
      <w:bookmarkEnd w:id="65"/>
    </w:p>
    <w:p>
      <w:pPr>
        <w:pStyle w:val="BodyText"/>
        <w:widowControl/>
        <w:bidi w:val="0"/>
        <w:jc w:val="both"/>
        <w:rPr>
          <w:rFonts w:ascii="Times New Roman" w:hAnsi="Times New Roman"/>
        </w:rPr>
      </w:pPr>
      <w:r>
        <w:rPr/>
        <w:t>. This Agreement may be executed simultaneously in any number of counterparts, each of which counterparts shall be deemed to be an original, and such counterparts shall constitute but one and the same instrument.</w:t>
      </w:r>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11.3  </w:t>
        <w:tab/>
      </w:r>
      <w:bookmarkStart w:id="66" w:name="_Toc484274632"/>
      <w:r>
        <w:rPr/>
        <w:t>Limitation on Rights of Certificateholders</w:t>
      </w:r>
      <w:r>
        <w:rPr>
          <w:u w:val="none"/>
        </w:rPr>
        <w:t>.</w:t>
      </w:r>
      <w:bookmarkEnd w:id="66"/>
    </w:p>
    <w:p>
      <w:pPr>
        <w:pStyle w:val="Heading3"/>
        <w:widowControl/>
        <w:numPr>
          <w:ilvl w:val="0"/>
          <w:numId w:val="0"/>
        </w:numPr>
        <w:bidi w:val="0"/>
        <w:ind w:firstLine="720"/>
        <w:jc w:val="both"/>
        <w:outlineLvl w:val="2"/>
        <w:rPr>
          <w:rFonts w:ascii="Times New Roman" w:hAnsi="Times New Roman"/>
        </w:rPr>
      </w:pPr>
      <w:r>
        <w:rPr/>
        <w:t>(a)  </w:t>
        <w:tab/>
        <w:t>The death or incapacity of any Certificateholder shall not operate to terminate this Agreement or the Trust, nor entitle such Certificateholder’s legal representatives or heirs to claim an accounting or to take any action or proceeding in any court for a partition or winding up of the Trust, nor otherwise affect the rights, obligations and liabilities of the parties hereto or any of them.</w:t>
      </w:r>
    </w:p>
    <w:p>
      <w:pPr>
        <w:pStyle w:val="Heading3"/>
        <w:widowControl/>
        <w:numPr>
          <w:ilvl w:val="0"/>
          <w:numId w:val="0"/>
        </w:numPr>
        <w:bidi w:val="0"/>
        <w:ind w:firstLine="720"/>
        <w:jc w:val="both"/>
        <w:outlineLvl w:val="2"/>
        <w:rPr>
          <w:rFonts w:ascii="Times New Roman" w:hAnsi="Times New Roman"/>
        </w:rPr>
      </w:pPr>
      <w:r>
        <w:rPr/>
        <w:t>(b)  </w:t>
        <w:tab/>
        <w:t>No Certificateholder shall have any right to vote (except as expressly provided for herein) or in any manner otherwise control the operation and management of the Trust, or the obligations of the parties hereto, nor shall anything herein set forth, or contained in the terms of the Certificates, be construed so as to constitute the Certificateholders from time to time as partners or members of an association; nor shall any Certificateholder be under any liability to any third person by reason of any action taken by the parties to this Agreement pursuant to any provision hereof.</w:t>
      </w:r>
    </w:p>
    <w:p>
      <w:pPr>
        <w:pStyle w:val="Heading3"/>
        <w:widowControl/>
        <w:numPr>
          <w:ilvl w:val="0"/>
          <w:numId w:val="0"/>
        </w:numPr>
        <w:bidi w:val="0"/>
        <w:ind w:firstLine="720"/>
        <w:jc w:val="both"/>
        <w:outlineLvl w:val="2"/>
        <w:rPr>
          <w:rFonts w:ascii="Times New Roman" w:hAnsi="Times New Roman"/>
        </w:rPr>
      </w:pPr>
      <w:r>
        <w:rPr/>
        <w:t>(c)  </w:t>
        <w:tab/>
        <w:t xml:space="preserve">No Certificateholder shall have any right by virtue of any provision of this Agreement to institute any suit, action or proceeding in equity or at law upon </w:t>
      </w:r>
      <w:r>
        <w:rPr>
          <w:strike/>
        </w:rPr>
        <w:t>or</w:t>
      </w:r>
      <w:r>
        <w:rPr>
          <w:u w:val="double"/>
        </w:rPr>
        <w:t>,</w:t>
      </w:r>
      <w:r>
        <w:rPr/>
        <w:t xml:space="preserve"> under or with respect to this Agreement or any Certificate, unless such Holder previously shall have given to the Trustee a written notice of breach and of the continuance thereof and unless also the Holders of Certificates evidencing not less than the Required Percentage—Remedies shall have made written request upon the Trustee to institute such action, suit or proceeding in its own name as Trustee hereunder and shall have offered to the Trustee such reasonable indemnity as it may require against the costs, expenses and liabilities to be incurred therein or thereby, and the Trustee, for 15 days after its receipt of such notice, request and offer of indemnity, shall have neglected or refused to institute any such action, suit or proceeding. It is understood and agreed that the Trustee shall not be obligated to make any investigation of matters arising under this Agreement, the Call Option or the Currency Swap or to institute, conduct or defend any litigation hereunder or in relation hereto at the request, order or direction of any Certificateholders unless such Certificateholders have offered to the Trustee the reasonable indemnity referred to above. It is further understood and agreed, and expressly covenanted by each Certificateholder with every other Certificateholder and the Trustee, that no one or more Holders of Certificates shall have any right in any manner whatever by virtue of any provision of this Agreement to affect, disturb or prejudice the rights of the Holders of any other of the Certificates, or to obtain or seek to obtain priority over or preference to any other such Holder, or to enforce any right under this Agreement, except in the manner herein provided and for the equal, ratable and common benefit of all Certificateholders. For the protection and enforcement of the provisions of this Section 11.3, each and every Certificateholder and the Trustee shall be entitled to such relief as can be given either at law or in equity.</w:t>
      </w:r>
    </w:p>
    <w:p>
      <w:pPr>
        <w:pStyle w:val="Heading2"/>
        <w:widowControl/>
        <w:numPr>
          <w:ilvl w:val="0"/>
          <w:numId w:val="0"/>
        </w:numPr>
        <w:bidi w:val="0"/>
        <w:ind w:firstLine="720"/>
        <w:jc w:val="both"/>
        <w:outlineLvl w:val="1"/>
        <w:rPr>
          <w:rFonts w:ascii="Times New Roman" w:hAnsi="Times New Roman"/>
          <w:strike/>
          <w:u w:val="none"/>
        </w:rPr>
      </w:pPr>
      <w:r>
        <w:rPr>
          <w:caps/>
          <w:u w:val="none"/>
        </w:rPr>
        <w:t>Section 11.4  </w:t>
        <w:tab/>
      </w:r>
      <w:bookmarkStart w:id="67" w:name="_Toc484274633"/>
      <w:r>
        <w:rPr/>
        <w:t>Governing Law</w:t>
      </w:r>
    </w:p>
    <w:p>
      <w:pPr>
        <w:pStyle w:val="Heading2"/>
        <w:widowControl/>
        <w:numPr>
          <w:ilvl w:val="0"/>
          <w:numId w:val="0"/>
        </w:numPr>
        <w:bidi w:val="0"/>
        <w:ind w:firstLine="720"/>
        <w:jc w:val="both"/>
        <w:outlineLvl w:val="1"/>
        <w:rPr>
          <w:rFonts w:ascii="Times New Roman" w:hAnsi="Times New Roman"/>
          <w:u w:val="none"/>
        </w:rPr>
      </w:pPr>
      <w:r>
        <w:rPr>
          <w:u w:val="none"/>
        </w:rPr>
        <w:t xml:space="preserve">.    Pursuant to Section 5-1401 of the New York General Obligations Law, this Agreement shall be governed by and construed in accordance with the </w:t>
      </w:r>
      <w:r>
        <w:rPr>
          <w:strike/>
          <w:u w:val="none"/>
        </w:rPr>
        <w:t>laws</w:t>
      </w:r>
      <w:r>
        <w:rPr>
          <w:u w:val="none"/>
        </w:rPr>
        <w:t xml:space="preserve"> </w:t>
      </w:r>
      <w:r>
        <w:rPr>
          <w:u w:val="double"/>
        </w:rPr>
        <w:t>law</w:t>
      </w:r>
      <w:r>
        <w:rPr>
          <w:u w:val="none"/>
        </w:rPr>
        <w:t xml:space="preserve"> of the State of New York.</w:t>
      </w:r>
      <w:bookmarkEnd w:id="67"/>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11.5  </w:t>
        <w:tab/>
      </w:r>
      <w:bookmarkStart w:id="68" w:name="_Toc484274634"/>
      <w:r>
        <w:rPr/>
        <w:t>Jurisdiction</w:t>
      </w:r>
      <w:r>
        <w:rPr>
          <w:u w:val="none"/>
        </w:rPr>
        <w:t>. The Company agrees that any legal suit, action or proceeding against the Company brought by the Trustee arising out of or based upon this Agreement may be instituted in any State or US federal court in the Borough of Manhattan, The City of New York, and waives any objection that it may now or hereafter have to the laying of venue of any such proceeding and, until the satisfaction and discharge of this Agreement hereof, irrevocably submits to the nonexclusive jurisdiction of such courts in any suit, action or proceeding.</w:t>
      </w:r>
      <w:bookmarkEnd w:id="68"/>
    </w:p>
    <w:p>
      <w:pPr>
        <w:pStyle w:val="Heading2"/>
        <w:keepNext w:val="true"/>
        <w:keepLines/>
        <w:widowControl/>
        <w:numPr>
          <w:ilvl w:val="0"/>
          <w:numId w:val="0"/>
        </w:numPr>
        <w:bidi w:val="0"/>
        <w:ind w:firstLine="720"/>
        <w:jc w:val="both"/>
        <w:outlineLvl w:val="1"/>
        <w:rPr>
          <w:rFonts w:ascii="Times New Roman" w:hAnsi="Times New Roman"/>
          <w:u w:val="none"/>
        </w:rPr>
      </w:pPr>
      <w:r>
        <w:rPr>
          <w:caps/>
          <w:u w:val="none"/>
        </w:rPr>
        <w:t>Section 11.6  </w:t>
        <w:tab/>
      </w:r>
      <w:bookmarkStart w:id="69" w:name="_Toc484274635"/>
      <w:r>
        <w:rPr/>
        <w:t>Notices</w:t>
      </w:r>
      <w:r>
        <w:rPr>
          <w:u w:val="none"/>
        </w:rPr>
        <w:t>.</w:t>
      </w:r>
      <w:bookmarkEnd w:id="69"/>
    </w:p>
    <w:p>
      <w:pPr>
        <w:pStyle w:val="Heading3"/>
        <w:widowControl/>
        <w:numPr>
          <w:ilvl w:val="0"/>
          <w:numId w:val="0"/>
        </w:numPr>
        <w:bidi w:val="0"/>
        <w:ind w:firstLine="720"/>
        <w:jc w:val="both"/>
        <w:outlineLvl w:val="2"/>
        <w:rPr>
          <w:rFonts w:ascii="Times New Roman" w:hAnsi="Times New Roman"/>
        </w:rPr>
      </w:pPr>
      <w:r>
        <w:rPr/>
        <w:t>(a)  </w:t>
        <w:tab/>
        <w:t xml:space="preserve">All directions, demands and notices hereunder shall be in writing and shall be deemed to have been duly given when received if personally delivered or mailed by first class mail, postage prepaid or by express delivery service or by certified mail, return receipt requested or delivered by facsimile followed by delivery by mail or delivered in any other manner specified herein, (i) in the case of </w:t>
      </w:r>
      <w:r>
        <w:rPr>
          <w:strike/>
        </w:rPr>
        <w:t>Enron</w:t>
      </w:r>
      <w:r>
        <w:rPr/>
        <w:t xml:space="preserve"> </w:t>
      </w:r>
      <w:r>
        <w:rPr>
          <w:u w:val="double"/>
        </w:rPr>
        <w:t>the Company</w:t>
      </w:r>
      <w:r>
        <w:rPr/>
        <w:t xml:space="preserve">, to 1400 Smith Street, Houston, Texas 77002-7369 and (ii) in the case of the Trustee, to 101 Barclay Street, New York, New York, 10286, Attention: </w:t>
      </w:r>
      <w:r>
        <w:rPr>
          <w:strike/>
        </w:rPr>
        <w:t>Ming J. Shiang</w:t>
      </w:r>
      <w:r>
        <w:rPr/>
        <w:t xml:space="preserve"> </w:t>
      </w:r>
      <w:r>
        <w:rPr>
          <w:u w:val="double"/>
        </w:rPr>
        <w:t>Thomas E. Tabor</w:t>
      </w:r>
      <w:r>
        <w:rPr/>
        <w:t>, facsimile number: 212-815-5595 or such other address as may hereafter be furnished to the Company in writing by the Trustee.</w:t>
      </w:r>
    </w:p>
    <w:p>
      <w:pPr>
        <w:pStyle w:val="Heading3"/>
        <w:widowControl/>
        <w:numPr>
          <w:ilvl w:val="0"/>
          <w:numId w:val="0"/>
        </w:numPr>
        <w:bidi w:val="0"/>
        <w:ind w:firstLine="720"/>
        <w:jc w:val="both"/>
        <w:outlineLvl w:val="2"/>
        <w:rPr>
          <w:rFonts w:ascii="Times New Roman" w:hAnsi="Times New Roman"/>
        </w:rPr>
      </w:pPr>
      <w:r>
        <w:rPr/>
        <w:t>(b)  </w:t>
        <w:tab/>
        <w:t xml:space="preserve">For purposes of delivering notices to the Rating Agencies under Section 11.8 or otherwise, such notices shall be mailed or delivered as provided in Section 11.8 to: </w:t>
      </w:r>
      <w:r>
        <w:rPr>
          <w:strike/>
        </w:rPr>
        <w:t>Standard &amp; Poor’s</w:t>
      </w:r>
      <w:r>
        <w:rPr/>
        <w:t xml:space="preserve"> </w:t>
      </w:r>
      <w:r>
        <w:rPr>
          <w:u w:val="double"/>
        </w:rPr>
        <w:t>S&amp;P</w:t>
      </w:r>
      <w:r>
        <w:rPr/>
        <w:t xml:space="preserve">, 26 Broadway (15th Floor), New York, New York 10004; DCR, 17 State Street (12th Floor), New York, New York 10004; and Moody’s </w:t>
      </w:r>
      <w:r>
        <w:rPr>
          <w:strike/>
        </w:rPr>
        <w:t>Investors Service, Inc.</w:t>
      </w:r>
      <w:r>
        <w:rPr/>
        <w:t xml:space="preserve">, 99 Church Street, New York, New York 10007; or such other address as </w:t>
      </w:r>
      <w:r>
        <w:rPr>
          <w:strike/>
        </w:rPr>
        <w:t>the</w:t>
      </w:r>
      <w:r>
        <w:rPr/>
        <w:t xml:space="preserve"> </w:t>
      </w:r>
      <w:r>
        <w:rPr>
          <w:u w:val="double"/>
        </w:rPr>
        <w:t>any</w:t>
      </w:r>
      <w:r>
        <w:rPr/>
        <w:t xml:space="preserve"> Rating </w:t>
      </w:r>
      <w:r>
        <w:rPr>
          <w:strike/>
        </w:rPr>
        <w:t>Agencies</w:t>
      </w:r>
      <w:r>
        <w:rPr/>
        <w:t xml:space="preserve"> </w:t>
      </w:r>
      <w:r>
        <w:rPr>
          <w:u w:val="double"/>
        </w:rPr>
        <w:t>Agency</w:t>
      </w:r>
      <w:r>
        <w:rPr/>
        <w:t xml:space="preserve"> may designate in writing to the parties hereto.</w:t>
      </w:r>
    </w:p>
    <w:p>
      <w:pPr>
        <w:pStyle w:val="Heading3"/>
        <w:widowControl/>
        <w:numPr>
          <w:ilvl w:val="0"/>
          <w:numId w:val="0"/>
        </w:numPr>
        <w:bidi w:val="0"/>
        <w:ind w:firstLine="720"/>
        <w:jc w:val="both"/>
        <w:outlineLvl w:val="2"/>
        <w:rPr>
          <w:rFonts w:ascii="Times New Roman" w:hAnsi="Times New Roman"/>
        </w:rPr>
      </w:pPr>
      <w:r>
        <w:rPr/>
        <w:t>(c)  </w:t>
        <w:tab/>
        <w:t>Notwithstanding any provision of this Agreement to the contrary, the Trustee shall deliver all notices or reports required to be delivered to or by the Trustee or the Company to the Certificateholders without charge to such Certificateholders.</w:t>
      </w:r>
    </w:p>
    <w:p>
      <w:pPr>
        <w:pStyle w:val="Heading3"/>
        <w:widowControl/>
        <w:numPr>
          <w:ilvl w:val="0"/>
          <w:numId w:val="0"/>
        </w:numPr>
        <w:bidi w:val="0"/>
        <w:ind w:firstLine="720"/>
        <w:jc w:val="both"/>
        <w:outlineLvl w:val="2"/>
        <w:rPr>
          <w:rFonts w:ascii="Times New Roman" w:hAnsi="Times New Roman"/>
        </w:rPr>
      </w:pPr>
      <w:r>
        <w:rPr/>
        <w:t>(d)  </w:t>
        <w:tab/>
        <w:t>Any notice required to be provided to a Holder shall be given by first class mail, postage prepaid, at the last address of such Holder as shown in the Certificate Register. Any notice so mailed within the time prescribed in this Agreement shall be conclusively presumed to have been duly given when mailed, whether or not the Certificateholder receives such notice.</w:t>
      </w:r>
    </w:p>
    <w:p>
      <w:pPr>
        <w:pStyle w:val="Heading2"/>
        <w:widowControl/>
        <w:numPr>
          <w:ilvl w:val="0"/>
          <w:numId w:val="0"/>
        </w:numPr>
        <w:bidi w:val="0"/>
        <w:ind w:firstLine="720"/>
        <w:jc w:val="both"/>
        <w:outlineLvl w:val="1"/>
        <w:rPr>
          <w:rFonts w:ascii="Times New Roman" w:hAnsi="Times New Roman"/>
          <w:vanish/>
        </w:rPr>
      </w:pPr>
      <w:r>
        <w:rPr>
          <w:caps/>
          <w:u w:val="none"/>
        </w:rPr>
        <w:t>Section 11.7  </w:t>
        <w:tab/>
      </w:r>
      <w:bookmarkStart w:id="70" w:name="_Toc484274636"/>
      <w:r>
        <w:rPr/>
        <w:t>Severability of Provisions</w:t>
      </w:r>
      <w:bookmarkEnd w:id="70"/>
    </w:p>
    <w:p>
      <w:pPr>
        <w:pStyle w:val="BodyText"/>
        <w:widowControl/>
        <w:bidi w:val="0"/>
        <w:jc w:val="both"/>
        <w:rPr>
          <w:rFonts w:ascii="Times New Roman" w:hAnsi="Times New Roman"/>
        </w:rPr>
      </w:pPr>
      <w:r>
        <w:rPr/>
        <w:t>. If any one or more of the covenants, agreements, provisions or terms of this Agreement shall be for any reason whatsoever held invalid, then such covenants, agreements, provisions or terms shall be deemed enforceable to the extent permitted</w:t>
      </w:r>
      <w:r>
        <w:rPr>
          <w:strike/>
        </w:rPr>
        <w:t>,</w:t>
      </w:r>
      <w:r>
        <w:rPr/>
        <w:t xml:space="preserve"> and if not so permitted, shall be deemed severable from the remaining covenants, agreements, provisions or terms of this Agreement and shall in no way affect the validity or enforceability of the other provisions of this Agreement or of the Certificates or the rights of the Holders thereof.</w:t>
      </w:r>
    </w:p>
    <w:p>
      <w:pPr>
        <w:pStyle w:val="Heading2"/>
        <w:widowControl/>
        <w:numPr>
          <w:ilvl w:val="0"/>
          <w:numId w:val="0"/>
        </w:numPr>
        <w:bidi w:val="0"/>
        <w:ind w:firstLine="720"/>
        <w:jc w:val="both"/>
        <w:outlineLvl w:val="1"/>
        <w:rPr>
          <w:rFonts w:ascii="Times New Roman" w:hAnsi="Times New Roman"/>
          <w:vanish/>
        </w:rPr>
      </w:pPr>
      <w:r>
        <w:rPr>
          <w:caps/>
          <w:u w:val="none"/>
        </w:rPr>
        <w:t>Section 11.8  </w:t>
        <w:tab/>
      </w:r>
      <w:bookmarkStart w:id="71" w:name="_Toc484274637"/>
      <w:r>
        <w:rPr/>
        <w:t>Notice to Rating Agencies</w:t>
      </w:r>
      <w:bookmarkEnd w:id="71"/>
    </w:p>
    <w:p>
      <w:pPr>
        <w:pStyle w:val="BodyText"/>
        <w:widowControl/>
        <w:bidi w:val="0"/>
        <w:jc w:val="both"/>
        <w:rPr>
          <w:rFonts w:ascii="Times New Roman" w:hAnsi="Times New Roman"/>
        </w:rPr>
      </w:pPr>
      <w:r>
        <w:rPr/>
        <w:t>. The Trustee shall use its best efforts promptly to provide notice to the Rating Agencies with respect to each of the following of which it has actual knowledge: (a) any modification or amendment to this Agreement; (b) the resignation or termination of the Trustee; (c) the final payment to Holders of the Certificates; and (d) any change in the location of the Certificate Account. In addition, the Trustee shall promptly furnish to each of the Rating Agencies copies of each report to Certificateholders described in Section 4.3 or otherwise. Any such notice pursuant to this Section 11.8 shall be in writing and shall be deemed to have been duly given if personally delivered or mailed by first class mail, postage prepaid, or by express delivery service to each of the Rating Agencies at the address specified in Section 11.6.</w:t>
      </w:r>
    </w:p>
    <w:p>
      <w:pPr>
        <w:pStyle w:val="Heading2"/>
        <w:widowControl/>
        <w:numPr>
          <w:ilvl w:val="0"/>
          <w:numId w:val="0"/>
        </w:numPr>
        <w:bidi w:val="0"/>
        <w:ind w:firstLine="720"/>
        <w:jc w:val="both"/>
        <w:outlineLvl w:val="1"/>
        <w:rPr>
          <w:rFonts w:ascii="Times New Roman" w:hAnsi="Times New Roman"/>
          <w:vanish/>
        </w:rPr>
      </w:pPr>
      <w:r>
        <w:rPr>
          <w:caps/>
          <w:u w:val="none"/>
        </w:rPr>
        <w:t>Section 11.9  </w:t>
        <w:tab/>
      </w:r>
      <w:bookmarkStart w:id="72" w:name="_Toc484274638"/>
      <w:r>
        <w:rPr/>
        <w:t>Non-petition Covenant</w:t>
      </w:r>
      <w:bookmarkEnd w:id="72"/>
    </w:p>
    <w:p>
      <w:pPr>
        <w:pStyle w:val="BodyText"/>
        <w:widowControl/>
        <w:bidi w:val="0"/>
        <w:jc w:val="both"/>
        <w:rPr>
          <w:rFonts w:ascii="Times New Roman" w:hAnsi="Times New Roman"/>
        </w:rPr>
      </w:pPr>
      <w:r>
        <w:rPr/>
        <w:t>. Notwithstanding any prior termination of this Agreement, each of the Trustee, any Authenticating Agent, any Paying Agent and the Company agrees that it shall not, until the date that is one year and one day after the Final Distribution Date acquiesce, petition or otherwise invoke or cause the Trust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the Trust under a Federal or state bankruptcy, insolvency or similar law or appointing a receiver, liquidator, assignee, trustee, custodian, sequestrator or other similar official of the Trust or all or any part of the property or assets of the Trust or ordering the winding up or liquidation of the affairs of the Trust.</w:t>
      </w:r>
    </w:p>
    <w:p>
      <w:pPr>
        <w:pStyle w:val="Heading2"/>
        <w:keepNext w:val="true"/>
        <w:keepLines/>
        <w:widowControl/>
        <w:numPr>
          <w:ilvl w:val="0"/>
          <w:numId w:val="0"/>
        </w:numPr>
        <w:bidi w:val="0"/>
        <w:ind w:firstLine="720"/>
        <w:jc w:val="both"/>
        <w:outlineLvl w:val="1"/>
        <w:rPr>
          <w:rFonts w:ascii="Times New Roman" w:hAnsi="Times New Roman"/>
        </w:rPr>
      </w:pPr>
      <w:r>
        <w:rPr>
          <w:caps/>
          <w:u w:val="none"/>
        </w:rPr>
        <w:t>Section 11.10  </w:t>
        <w:tab/>
      </w:r>
      <w:bookmarkStart w:id="73" w:name="_Toc484274639"/>
      <w:r>
        <w:rPr/>
        <w:t>Compliance Certificates and Opinions, etc.</w:t>
      </w:r>
      <w:bookmarkEnd w:id="73"/>
    </w:p>
    <w:p>
      <w:pPr>
        <w:pStyle w:val="Heading3"/>
        <w:widowControl/>
        <w:numPr>
          <w:ilvl w:val="0"/>
          <w:numId w:val="0"/>
        </w:numPr>
        <w:bidi w:val="0"/>
        <w:ind w:firstLine="720"/>
        <w:jc w:val="both"/>
        <w:outlineLvl w:val="2"/>
        <w:rPr>
          <w:rFonts w:ascii="Times New Roman" w:hAnsi="Times New Roman"/>
        </w:rPr>
      </w:pPr>
      <w:r>
        <w:rPr/>
        <w:t>(a)  </w:t>
        <w:tab/>
        <w:t xml:space="preserve">Upon any application or request by the Company to the Trustee to take any action under any provision of this Agreement, the Company shall furnish to the Trustee: (i) an Officer’s Certificate stating that all conditions precedent, if any, provided for in this Agreement relating to the proposed action have been complied with and (ii) an Opinion of Counsel stating that in the opinion of such counsel all such conditions precedent, if any, have been complied with, except that, in the case of any such application or request as to which the furnishing of such documents is specifically required by any provision of this Agreement, no additional certificate or opinion need be furnished. </w:t>
      </w:r>
    </w:p>
    <w:p>
      <w:pPr>
        <w:pStyle w:val="Heading3"/>
        <w:widowControl/>
        <w:numPr>
          <w:ilvl w:val="0"/>
          <w:numId w:val="0"/>
        </w:numPr>
        <w:bidi w:val="0"/>
        <w:ind w:firstLine="720"/>
        <w:jc w:val="both"/>
        <w:outlineLvl w:val="2"/>
        <w:rPr>
          <w:rFonts w:ascii="Times New Roman" w:hAnsi="Times New Roman"/>
        </w:rPr>
      </w:pPr>
      <w:r>
        <w:rPr/>
        <w:t>(b)  </w:t>
        <w:tab/>
        <w:t>Every certificate or opinion with respect to compliance with a condition or covenant provided for in this Agreement shall include:</w:t>
      </w:r>
    </w:p>
    <w:p>
      <w:pPr>
        <w:pStyle w:val="Heading4"/>
        <w:widowControl/>
        <w:numPr>
          <w:ilvl w:val="0"/>
          <w:numId w:val="0"/>
        </w:numPr>
        <w:bidi w:val="0"/>
        <w:ind w:firstLine="720" w:start="720"/>
        <w:jc w:val="start"/>
        <w:outlineLvl w:val="3"/>
        <w:rPr>
          <w:rFonts w:ascii="Times New Roman" w:hAnsi="Times New Roman"/>
        </w:rPr>
      </w:pPr>
      <w:r>
        <w:rPr/>
        <w:t>(i)</w:t>
        <w:tab/>
        <w:t>a statement that each signatory of such certificate or opinion has read or has caused to be read such covenant or condition and the definitions herein relating thereto;</w:t>
      </w:r>
    </w:p>
    <w:p>
      <w:pPr>
        <w:pStyle w:val="Heading4"/>
        <w:widowControl/>
        <w:numPr>
          <w:ilvl w:val="0"/>
          <w:numId w:val="0"/>
        </w:numPr>
        <w:bidi w:val="0"/>
        <w:ind w:firstLine="720" w:start="720"/>
        <w:jc w:val="start"/>
        <w:outlineLvl w:val="3"/>
        <w:rPr>
          <w:rFonts w:ascii="Times New Roman" w:hAnsi="Times New Roman"/>
        </w:rPr>
      </w:pPr>
      <w:r>
        <w:rPr/>
        <w:t>(ii)</w:t>
        <w:tab/>
        <w:t>a brief statement as to the nature and scope of the examination or investigation upon which the statements or opinions contained in such certificate or opinion are based;</w:t>
      </w:r>
    </w:p>
    <w:p>
      <w:pPr>
        <w:pStyle w:val="Heading4"/>
        <w:widowControl/>
        <w:numPr>
          <w:ilvl w:val="0"/>
          <w:numId w:val="0"/>
        </w:numPr>
        <w:bidi w:val="0"/>
        <w:ind w:firstLine="720" w:start="720"/>
        <w:jc w:val="start"/>
        <w:outlineLvl w:val="3"/>
        <w:rPr>
          <w:rFonts w:ascii="Times New Roman" w:hAnsi="Times New Roman"/>
        </w:rPr>
      </w:pPr>
      <w:r>
        <w:rPr/>
        <w:t>(iii)</w:t>
        <w:tab/>
        <w:t>a statement that, in the judgement of each such signatory, such signatory has made such examination or investigation as is necessary to enable such signatory to express an informed opinion as to whether or not such covenant or condition has been complied with; and</w:t>
      </w:r>
    </w:p>
    <w:p>
      <w:pPr>
        <w:sectPr>
          <w:footerReference w:type="even" r:id="rId7"/>
          <w:footerReference w:type="default" r:id="rId8"/>
          <w:footerReference w:type="first" r:id="rId9"/>
          <w:type w:val="nextPage"/>
          <w:pgSz w:w="12240" w:h="15840"/>
          <w:pgMar w:left="1440" w:right="1440" w:gutter="0" w:header="0" w:top="1440" w:footer="432" w:bottom="1440"/>
          <w:pgNumType w:start="1" w:fmt="decimal"/>
          <w:formProt w:val="false"/>
          <w:titlePg/>
          <w:textDirection w:val="lrTb"/>
          <w:docGrid w:type="default" w:linePitch="100" w:charSpace="0"/>
        </w:sectPr>
        <w:pStyle w:val="Heading4"/>
        <w:widowControl/>
        <w:numPr>
          <w:ilvl w:val="0"/>
          <w:numId w:val="0"/>
        </w:numPr>
        <w:bidi w:val="0"/>
        <w:ind w:firstLine="720" w:start="720"/>
        <w:jc w:val="start"/>
        <w:outlineLvl w:val="3"/>
        <w:rPr>
          <w:rFonts w:ascii="Times New Roman" w:hAnsi="Times New Roman"/>
        </w:rPr>
      </w:pPr>
      <w:r>
        <w:rPr/>
        <w:t>(iv)</w:t>
        <w:tab/>
        <w:t>a statement as to whether, in the opinion of each such signatory, such condition or covenant has been complied with.</w:t>
      </w:r>
    </w:p>
    <w:p>
      <w:pPr>
        <w:pStyle w:val="BodyTextFirstIndent"/>
        <w:widowControl/>
        <w:bidi w:val="0"/>
        <w:jc w:val="both"/>
        <w:rPr>
          <w:rFonts w:ascii="Times New Roman" w:hAnsi="Times New Roman"/>
        </w:rPr>
      </w:pPr>
      <w:r>
        <w:rPr/>
        <w:t>IN WITNESS WHEREOF, the Company and the Trustee have caused their names to be signed hereto by their respective officers thereunto duly authorized, in each case as of the day and year first above written.</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t>ENRON CORP.</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u w:val="single"/>
        </w:rPr>
      </w:pPr>
      <w:r>
        <w:rPr/>
        <w:t>By:</w:t>
      </w:r>
      <w:r>
        <w:rPr>
          <w:u w:val="single"/>
        </w:rPr>
        <w:t>________________________</w:t>
      </w:r>
    </w:p>
    <w:p>
      <w:pPr>
        <w:pStyle w:val="Closing"/>
        <w:widowControl/>
        <w:bidi w:val="0"/>
        <w:ind w:hanging="0" w:start="4680"/>
        <w:jc w:val="start"/>
        <w:rPr>
          <w:rFonts w:ascii="Times New Roman" w:hAnsi="Times New Roman"/>
        </w:rPr>
      </w:pPr>
      <w:r>
        <w:rPr/>
        <w:t>Name:</w:t>
      </w:r>
    </w:p>
    <w:p>
      <w:pPr>
        <w:pStyle w:val="Closing"/>
        <w:widowControl/>
        <w:bidi w:val="0"/>
        <w:ind w:hanging="0" w:start="4680"/>
        <w:jc w:val="start"/>
        <w:rPr>
          <w:rFonts w:ascii="Times New Roman" w:hAnsi="Times New Roman"/>
        </w:rPr>
      </w:pPr>
      <w:r>
        <w:rPr/>
        <w:t>Title:</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t>THE BANK OF NEW YORK,</w:t>
      </w:r>
    </w:p>
    <w:p>
      <w:pPr>
        <w:pStyle w:val="Closing"/>
        <w:widowControl/>
        <w:bidi w:val="0"/>
        <w:jc w:val="start"/>
        <w:rPr>
          <w:rFonts w:ascii="Times New Roman" w:hAnsi="Times New Roman"/>
        </w:rPr>
      </w:pPr>
      <w:r>
        <w:rPr/>
        <w:t xml:space="preserve"> </w:t>
      </w:r>
      <w:r>
        <w:rPr/>
        <w:t>as Trustee</w:t>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rPr>
      </w:pPr>
      <w:r>
        <w:rPr/>
      </w:r>
    </w:p>
    <w:p>
      <w:pPr>
        <w:pStyle w:val="Closing"/>
        <w:widowControl/>
        <w:bidi w:val="0"/>
        <w:jc w:val="start"/>
        <w:rPr>
          <w:rFonts w:ascii="Times New Roman" w:hAnsi="Times New Roman"/>
          <w:u w:val="single"/>
        </w:rPr>
      </w:pPr>
      <w:r>
        <w:rPr/>
        <w:t>By:________________________</w:t>
      </w:r>
    </w:p>
    <w:p>
      <w:pPr>
        <w:pStyle w:val="Closing"/>
        <w:widowControl/>
        <w:bidi w:val="0"/>
        <w:ind w:hanging="0" w:start="4680"/>
        <w:jc w:val="start"/>
        <w:rPr>
          <w:rFonts w:ascii="Times New Roman" w:hAnsi="Times New Roman"/>
        </w:rPr>
      </w:pPr>
      <w:r>
        <w:rPr/>
        <w:t>Name:</w:t>
      </w:r>
    </w:p>
    <w:p>
      <w:pPr>
        <w:pStyle w:val="Closing"/>
        <w:widowControl/>
        <w:bidi w:val="0"/>
        <w:ind w:hanging="0" w:start="4680"/>
        <w:jc w:val="start"/>
        <w:rPr>
          <w:rFonts w:ascii="Times New Roman" w:hAnsi="Times New Roman"/>
        </w:rPr>
      </w:pPr>
      <w:r>
        <w:rPr/>
        <w:t>Title:</w:t>
      </w:r>
    </w:p>
    <w:p>
      <w:pPr>
        <w:sectPr>
          <w:footerReference w:type="even" r:id="rId10"/>
          <w:footerReference w:type="default" r:id="rId11"/>
          <w:footerReference w:type="first" r:id="rId12"/>
          <w:type w:val="nextPage"/>
          <w:pgSz w:w="12240" w:h="15840"/>
          <w:pgMar w:left="1440" w:right="1440" w:gutter="0" w:header="0" w:top="1440" w:footer="432" w:bottom="1440"/>
          <w:pgNumType w:start="1" w:fmt="decimal"/>
          <w:formProt w:val="false"/>
          <w:titlePg/>
          <w:textDirection w:val="lrTb"/>
          <w:docGrid w:type="default" w:linePitch="100" w:charSpace="0"/>
        </w:sectPr>
        <w:pStyle w:val="Closing"/>
        <w:widowControl/>
        <w:bidi w:val="0"/>
        <w:jc w:val="start"/>
        <w:rPr>
          <w:rFonts w:ascii="Times New Roman" w:hAnsi="Times New Roman"/>
        </w:rPr>
      </w:pPr>
      <w:r>
        <w:rPr/>
      </w:r>
    </w:p>
    <w:p>
      <w:pPr>
        <w:pStyle w:val="Normal"/>
        <w:widowControl/>
        <w:bidi w:val="0"/>
        <w:jc w:val="end"/>
        <w:rPr>
          <w:u w:val="single"/>
        </w:rPr>
      </w:pPr>
      <w:r>
        <w:rPr>
          <w:u w:val="single"/>
        </w:rPr>
        <w:t>Exhibit A</w:t>
      </w:r>
    </w:p>
    <w:p>
      <w:pPr>
        <w:pStyle w:val="Normal"/>
        <w:widowControl/>
        <w:bidi w:val="0"/>
        <w:jc w:val="end"/>
        <w:rPr>
          <w:u w:val="single"/>
        </w:rPr>
      </w:pPr>
      <w:r>
        <w:rPr>
          <w:u w:val="single"/>
        </w:rPr>
      </w:r>
    </w:p>
    <w:p>
      <w:pPr>
        <w:pStyle w:val="Normal"/>
        <w:widowControl/>
        <w:bidi w:val="0"/>
        <w:jc w:val="center"/>
        <w:rPr/>
      </w:pPr>
      <w:r>
        <w:rPr/>
        <w:t>[Form of Certificate]</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[to come]</w:t>
      </w:r>
    </w:p>
    <w:p>
      <w:pPr>
        <w:pStyle w:val="Normal"/>
        <w:widowControl/>
        <w:bidi w:val="0"/>
        <w:jc w:val="end"/>
        <w:rPr>
          <w:u w:val="single"/>
        </w:rPr>
      </w:pPr>
      <w:r>
        <w:rPr>
          <w:u w:val="single"/>
        </w:rPr>
      </w:r>
    </w:p>
    <w:p>
      <w:pPr>
        <w:sectPr>
          <w:footerReference w:type="even" r:id="rId13"/>
          <w:footerReference w:type="default" r:id="rId14"/>
          <w:footerReference w:type="first" r:id="rId15"/>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jc w:val="start"/>
        <w:rPr/>
      </w:pPr>
      <w:r>
        <w:rPr/>
      </w:r>
    </w:p>
    <w:p>
      <w:pPr>
        <w:pStyle w:val="Normal"/>
        <w:widowControl/>
        <w:bidi w:val="0"/>
        <w:jc w:val="end"/>
        <w:rPr>
          <w:u w:val="single"/>
        </w:rPr>
      </w:pPr>
      <w:r>
        <w:rPr>
          <w:u w:val="single"/>
        </w:rPr>
        <w:t>Exhibit B</w:t>
      </w:r>
    </w:p>
    <w:p>
      <w:pPr>
        <w:pStyle w:val="Normal"/>
        <w:widowControl/>
        <w:bidi w:val="0"/>
        <w:jc w:val="start"/>
        <w:rPr/>
      </w:pPr>
      <w:r>
        <w:rPr/>
      </w:r>
    </w:p>
    <w:p>
      <w:pPr>
        <w:pStyle w:val="Normal"/>
        <w:widowControl/>
        <w:bidi w:val="0"/>
        <w:jc w:val="center"/>
        <w:rPr/>
      </w:pPr>
      <w:r>
        <w:rPr/>
        <w:t>[Form of Confirmation for Call Option]</w:t>
      </w:r>
    </w:p>
    <w:p>
      <w:pPr>
        <w:pStyle w:val="Normal"/>
        <w:widowControl/>
        <w:bidi w:val="0"/>
        <w:jc w:val="center"/>
        <w:rPr/>
      </w:pPr>
      <w:r>
        <w:rPr/>
      </w:r>
    </w:p>
    <w:p>
      <w:pPr>
        <w:pStyle w:val="Normal"/>
        <w:widowControl/>
        <w:bidi w:val="0"/>
        <w:jc w:val="center"/>
        <w:rPr/>
      </w:pPr>
      <w:r>
        <w:rPr/>
      </w:r>
    </w:p>
    <w:p>
      <w:pPr>
        <w:sectPr>
          <w:footerReference w:type="even" r:id="rId16"/>
          <w:footerReference w:type="default" r:id="rId17"/>
          <w:footerReference w:type="first" r:id="rId18"/>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jc w:val="center"/>
        <w:rPr/>
      </w:pPr>
      <w:r>
        <w:rPr/>
        <w:t>[to come]</w:t>
      </w:r>
    </w:p>
    <w:p>
      <w:pPr>
        <w:pStyle w:val="Normal"/>
        <w:widowControl/>
        <w:bidi w:val="0"/>
        <w:jc w:val="end"/>
        <w:rPr>
          <w:u w:val="single"/>
        </w:rPr>
      </w:pPr>
      <w:r>
        <w:rPr>
          <w:u w:val="single"/>
        </w:rPr>
        <w:t>Exhibit C</w:t>
      </w:r>
    </w:p>
    <w:p>
      <w:pPr>
        <w:pStyle w:val="Normal"/>
        <w:widowControl/>
        <w:bidi w:val="0"/>
        <w:jc w:val="end"/>
        <w:rPr/>
      </w:pPr>
      <w:r>
        <w:rPr/>
      </w:r>
    </w:p>
    <w:p>
      <w:pPr>
        <w:pStyle w:val="Normal"/>
        <w:widowControl/>
        <w:bidi w:val="0"/>
        <w:jc w:val="center"/>
        <w:rPr/>
      </w:pPr>
      <w:r>
        <w:rPr/>
        <w:t>[Form of Confirmation for Currency Swap]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[to come]</w:t>
      </w:r>
    </w:p>
    <w:p>
      <w:pPr>
        <w:sectPr>
          <w:footerReference w:type="even" r:id="rId19"/>
          <w:footerReference w:type="default" r:id="rId20"/>
          <w:footerReference w:type="first" r:id="rId21"/>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jc w:val="center"/>
        <w:rPr/>
      </w:pPr>
      <w:r>
        <w:rPr/>
      </w:r>
    </w:p>
    <w:p>
      <w:pPr>
        <w:pStyle w:val="Normal"/>
        <w:widowControl/>
        <w:bidi w:val="0"/>
        <w:jc w:val="end"/>
        <w:rPr>
          <w:u w:val="single"/>
        </w:rPr>
      </w:pPr>
      <w:r>
        <w:rPr>
          <w:u w:val="single"/>
        </w:rPr>
        <w:t>Exhibit D</w:t>
      </w:r>
    </w:p>
    <w:p>
      <w:pPr>
        <w:pStyle w:val="Normal"/>
        <w:widowControl/>
        <w:bidi w:val="0"/>
        <w:jc w:val="end"/>
        <w:rPr/>
      </w:pPr>
      <w:r>
        <w:rPr/>
      </w:r>
    </w:p>
    <w:p>
      <w:pPr>
        <w:pStyle w:val="Normal"/>
        <w:widowControl/>
        <w:bidi w:val="0"/>
        <w:jc w:val="center"/>
        <w:rPr/>
      </w:pPr>
      <w:r>
        <w:rPr/>
        <w:t>[Form of Notice of Payment Default</w:t>
      </w:r>
    </w:p>
    <w:p>
      <w:pPr>
        <w:pStyle w:val="Normal"/>
        <w:widowControl/>
        <w:bidi w:val="0"/>
        <w:jc w:val="center"/>
        <w:rPr/>
      </w:pPr>
      <w:r>
        <w:rPr/>
        <w:t>by the Swap Counterparty under the Currency Swap}</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[to come]</w:t>
      </w:r>
    </w:p>
    <w:p>
      <w:pPr>
        <w:sectPr>
          <w:footerReference w:type="even" r:id="rId22"/>
          <w:footerReference w:type="default" r:id="rId23"/>
          <w:footerReference w:type="first" r:id="rId24"/>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ind w:firstLine="450"/>
        <w:jc w:val="start"/>
        <w:rPr/>
      </w:pPr>
      <w:r>
        <w:rPr/>
      </w:r>
    </w:p>
    <w:p>
      <w:pPr>
        <w:pStyle w:val="Normal"/>
        <w:widowControl/>
        <w:bidi w:val="0"/>
        <w:jc w:val="end"/>
        <w:rPr>
          <w:u w:val="single"/>
        </w:rPr>
      </w:pPr>
      <w:r>
        <w:rPr>
          <w:u w:val="single"/>
        </w:rPr>
        <w:t>Exhibit E</w:t>
      </w:r>
    </w:p>
    <w:p>
      <w:pPr>
        <w:pStyle w:val="Normal"/>
        <w:widowControl/>
        <w:bidi w:val="0"/>
        <w:jc w:val="end"/>
        <w:rPr/>
      </w:pPr>
      <w:r>
        <w:rPr/>
      </w:r>
    </w:p>
    <w:p>
      <w:pPr>
        <w:pStyle w:val="Normal"/>
        <w:widowControl/>
        <w:bidi w:val="0"/>
        <w:jc w:val="center"/>
        <w:rPr/>
      </w:pPr>
      <w:r>
        <w:rPr/>
        <w:t xml:space="preserve">[Form of Notice of Payment Default </w:t>
      </w:r>
    </w:p>
    <w:p>
      <w:pPr>
        <w:pStyle w:val="Normal"/>
        <w:widowControl/>
        <w:bidi w:val="0"/>
        <w:jc w:val="center"/>
        <w:rPr/>
      </w:pPr>
      <w:r>
        <w:rPr/>
        <w:t>by the Callholder Under the Call Option]</w:t>
      </w:r>
    </w:p>
    <w:p>
      <w:pPr>
        <w:pStyle w:val="Normal"/>
        <w:widowControl/>
        <w:bidi w:val="0"/>
        <w:jc w:val="center"/>
        <w:rPr/>
      </w:pPr>
      <w:r>
        <w:rPr/>
      </w:r>
    </w:p>
    <w:p>
      <w:pPr>
        <w:pStyle w:val="Normal"/>
        <w:widowControl/>
        <w:bidi w:val="0"/>
        <w:jc w:val="center"/>
        <w:rPr/>
      </w:pPr>
      <w:r>
        <w:rPr/>
      </w:r>
    </w:p>
    <w:p>
      <w:pPr>
        <w:pStyle w:val="Normal"/>
        <w:widowControl/>
        <w:bidi w:val="0"/>
        <w:jc w:val="center"/>
        <w:rPr/>
      </w:pPr>
      <w:r>
        <w:rPr/>
        <w:t>[to come]</w:t>
      </w:r>
    </w:p>
    <w:p>
      <w:pPr>
        <w:sectPr>
          <w:footerReference w:type="even" r:id="rId25"/>
          <w:footerReference w:type="default" r:id="rId26"/>
          <w:footerReference w:type="first" r:id="rId27"/>
          <w:type w:val="nextPage"/>
          <w:pgSz w:w="12240" w:h="15840"/>
          <w:pgMar w:left="1440" w:right="1440" w:gutter="0" w:header="0" w:top="1440" w:footer="432" w:bottom="1440"/>
          <w:pgNumType w:start="1" w:fmt="decimal"/>
          <w:formProt w:val="false"/>
          <w:titlePg/>
          <w:textDirection w:val="lrTb"/>
          <w:docGrid w:type="default" w:linePitch="100" w:charSpace="0"/>
        </w:sectPr>
        <w:pStyle w:val="Normal"/>
        <w:widowControl/>
        <w:bidi w:val="0"/>
        <w:jc w:val="start"/>
        <w:rPr/>
      </w:pPr>
      <w:r>
        <w:rPr/>
      </w:r>
    </w:p>
    <w:p>
      <w:pPr>
        <w:pStyle w:val="BodyText"/>
        <w:widowControl/>
        <w:bidi w:val="0"/>
        <w:jc w:val="center"/>
        <w:rPr>
          <w:rFonts w:ascii="Times New Roman" w:hAnsi="Times New Roman"/>
        </w:rPr>
      </w:pPr>
      <w:r>
        <w:rPr>
          <w:u w:val="single"/>
        </w:rPr>
        <w:t>TABLE OF CONTENTS</w:t>
      </w:r>
    </w:p>
    <w:p>
      <w:pPr>
        <w:pStyle w:val="BodyText"/>
        <w:widowControl/>
        <w:bidi w:val="0"/>
        <w:jc w:val="end"/>
        <w:rPr>
          <w:rFonts w:ascii="Times New Roman" w:hAnsi="Times New Roman"/>
        </w:rPr>
      </w:pPr>
      <w:r>
        <w:rPr>
          <w:u w:val="single"/>
        </w:rPr>
        <w:t>Page</w:t>
      </w:r>
    </w:p>
    <w:sdt>
      <w:sdtPr>
        <w:docPartObj>
          <w:docPartGallery w:val="Table of Contents"/>
          <w:docPartUnique w:val="true"/>
        </w:docPartObj>
      </w:sdtPr>
      <w:sdtContent>
        <w:p>
          <w:pPr>
            <w:pStyle w:val="TOC1"/>
            <w:widowControl/>
            <w:bidi w:val="0"/>
            <w:jc w:val="start"/>
            <w:rPr>
              <w:rFonts w:ascii="Times New Roman" w:hAnsi="Times New Roman"/>
            </w:rPr>
          </w:pPr>
          <w:r>
            <w:fldChar w:fldCharType="begin"/>
          </w:r>
          <w:r>
            <w:rPr>
              <w:caps/>
            </w:rPr>
            <w:instrText xml:space="preserve"> TOC \o "1-1" \t "heading 2,2" \h</w:instrText>
          </w:r>
          <w:r>
            <w:rPr>
              <w:caps/>
            </w:rPr>
            <w:fldChar w:fldCharType="separate"/>
          </w:r>
          <w:r>
            <w:rPr>
              <w:caps/>
            </w:rPr>
            <w:t>Article I</w:t>
          </w:r>
          <w:r>
            <w:rPr/>
            <w:t xml:space="preserve"> Definitions and Assumptions</w:t>
            <w:tab/>
          </w:r>
          <w:r>
            <w:rPr>
              <w:lang w:val="en-CA"/>
            </w:rPr>
            <w:t>1</w:t>
          </w:r>
        </w:p>
        <w:p>
          <w:pPr>
            <w:pStyle w:val="TOC2"/>
            <w:widowControl/>
            <w:bidi w:val="0"/>
            <w:jc w:val="start"/>
            <w:rPr>
              <w:rFonts w:ascii="Times New Roman" w:hAnsi="Times New Roman"/>
            </w:rPr>
          </w:pPr>
          <w:r>
            <w:rPr>
              <w:caps/>
            </w:rPr>
            <w:t xml:space="preserve">Section </w:t>
          </w:r>
          <w:r>
            <w:rPr>
              <w:caps/>
              <w:strike/>
            </w:rPr>
            <w:t>1.1</w:t>
          </w:r>
          <w:r>
            <w:rPr>
              <w:caps/>
            </w:rPr>
            <w:t xml:space="preserve"> </w:t>
          </w:r>
          <w:r>
            <w:rPr>
              <w:caps/>
              <w:u w:val="double"/>
            </w:rPr>
            <w:t>1.1  </w:t>
          </w:r>
          <w:r>
            <w:rPr/>
            <w:tab/>
            <w:t>Definitions</w:t>
            <w:tab/>
          </w:r>
          <w:r>
            <w:rPr>
              <w:lang w:val="en-CA"/>
            </w:rPr>
            <w:t>1</w:t>
          </w:r>
        </w:p>
        <w:p>
          <w:pPr>
            <w:pStyle w:val="TOC2"/>
            <w:widowControl/>
            <w:bidi w:val="0"/>
            <w:jc w:val="start"/>
            <w:rPr>
              <w:rFonts w:ascii="Times New Roman" w:hAnsi="Times New Roman"/>
            </w:rPr>
          </w:pPr>
          <w:r>
            <w:rPr>
              <w:caps/>
            </w:rPr>
            <w:t xml:space="preserve">Section </w:t>
          </w:r>
          <w:r>
            <w:rPr>
              <w:caps/>
              <w:strike/>
            </w:rPr>
            <w:t>1.2</w:t>
          </w:r>
          <w:r>
            <w:rPr>
              <w:caps/>
            </w:rPr>
            <w:t xml:space="preserve"> </w:t>
          </w:r>
          <w:r>
            <w:rPr>
              <w:caps/>
              <w:u w:val="double"/>
            </w:rPr>
            <w:t>1.2  </w:t>
          </w:r>
          <w:r>
            <w:rPr/>
            <w:tab/>
            <w:t>Rules of Construction</w:t>
            <w:tab/>
          </w:r>
          <w:r>
            <w:rPr>
              <w:lang w:val="en-CA"/>
            </w:rPr>
            <w:t>2</w:t>
          </w:r>
        </w:p>
        <w:p>
          <w:pPr>
            <w:pStyle w:val="TOC1"/>
            <w:widowControl/>
            <w:bidi w:val="0"/>
            <w:jc w:val="start"/>
            <w:rPr>
              <w:rFonts w:ascii="Times New Roman" w:hAnsi="Times New Roman"/>
            </w:rPr>
          </w:pPr>
          <w:r>
            <w:rPr>
              <w:caps/>
            </w:rPr>
            <w:t>Article II</w:t>
          </w:r>
          <w:r>
            <w:rPr/>
            <w:t xml:space="preserve"> Declaration of Trust; Issuance of Certificates</w:t>
            <w:tab/>
          </w:r>
          <w:r>
            <w:rPr>
              <w:lang w:val="en-CA"/>
            </w:rPr>
            <w:t>2</w:t>
          </w:r>
        </w:p>
        <w:p>
          <w:pPr>
            <w:pStyle w:val="TOC2"/>
            <w:widowControl/>
            <w:bidi w:val="0"/>
            <w:jc w:val="start"/>
            <w:rPr>
              <w:rFonts w:ascii="Times New Roman" w:hAnsi="Times New Roman"/>
            </w:rPr>
          </w:pPr>
          <w:r>
            <w:rPr>
              <w:caps/>
            </w:rPr>
            <w:t xml:space="preserve">Section </w:t>
          </w:r>
          <w:r>
            <w:rPr>
              <w:caps/>
              <w:strike/>
            </w:rPr>
            <w:t>2.1</w:t>
          </w:r>
          <w:r>
            <w:rPr>
              <w:caps/>
            </w:rPr>
            <w:t xml:space="preserve"> </w:t>
          </w:r>
          <w:r>
            <w:rPr>
              <w:caps/>
              <w:u w:val="double"/>
            </w:rPr>
            <w:t>2.1  </w:t>
          </w:r>
          <w:r>
            <w:rPr/>
            <w:tab/>
            <w:t>Creation and Declaration of Trust; Purchase of Notes.</w:t>
            <w:tab/>
          </w:r>
          <w:r>
            <w:rPr>
              <w:lang w:val="en-CA"/>
            </w:rPr>
            <w:t>2</w:t>
          </w:r>
        </w:p>
        <w:p>
          <w:pPr>
            <w:pStyle w:val="TOC2"/>
            <w:widowControl/>
            <w:bidi w:val="0"/>
            <w:jc w:val="start"/>
            <w:rPr>
              <w:rFonts w:ascii="Times New Roman" w:hAnsi="Times New Roman"/>
            </w:rPr>
          </w:pPr>
          <w:r>
            <w:rPr>
              <w:caps/>
            </w:rPr>
            <w:t xml:space="preserve">Section </w:t>
          </w:r>
          <w:r>
            <w:rPr>
              <w:caps/>
              <w:strike/>
            </w:rPr>
            <w:t>2.2</w:t>
          </w:r>
          <w:r>
            <w:rPr>
              <w:caps/>
            </w:rPr>
            <w:t xml:space="preserve"> </w:t>
          </w:r>
          <w:r>
            <w:rPr>
              <w:caps/>
              <w:u w:val="double"/>
            </w:rPr>
            <w:t>2.2  </w:t>
          </w:r>
          <w:r>
            <w:rPr/>
            <w:tab/>
            <w:t>Representations and Warranties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2.3</w:t>
          </w:r>
          <w:r>
            <w:rPr>
              <w:caps/>
            </w:rPr>
            <w:t xml:space="preserve"> </w:t>
          </w:r>
          <w:r>
            <w:rPr>
              <w:caps/>
              <w:u w:val="double"/>
            </w:rPr>
            <w:t>2.3  </w:t>
          </w:r>
          <w:r>
            <w:rPr/>
            <w:tab/>
            <w:t>Breach of Representation, Warranty or Covenant</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2.4</w:t>
          </w:r>
          <w:r>
            <w:rPr>
              <w:caps/>
            </w:rPr>
            <w:t xml:space="preserve"> </w:t>
          </w:r>
          <w:r>
            <w:rPr>
              <w:caps/>
              <w:u w:val="double"/>
            </w:rPr>
            <w:t>2.4  </w:t>
          </w:r>
          <w:r>
            <w:rPr/>
            <w:tab/>
            <w:t>Agreement to Authenticate and Deliver Certificates</w:t>
          </w:r>
          <w:r>
            <w:rPr>
              <w:u w:val="double"/>
            </w:rPr>
            <w:t>.</w:t>
          </w:r>
          <w:r>
            <w:rPr/>
            <w:tab/>
          </w:r>
          <w:r>
            <w:rPr>
              <w:lang w:val="en-CA"/>
            </w:rPr>
            <w:t>2</w:t>
          </w:r>
        </w:p>
        <w:p>
          <w:pPr>
            <w:pStyle w:val="TOC1"/>
            <w:widowControl/>
            <w:bidi w:val="0"/>
            <w:jc w:val="start"/>
            <w:rPr>
              <w:rFonts w:ascii="Times New Roman" w:hAnsi="Times New Roman"/>
            </w:rPr>
          </w:pPr>
          <w:r>
            <w:rPr>
              <w:caps/>
            </w:rPr>
            <w:t>Article III</w:t>
          </w:r>
          <w:r>
            <w:rPr/>
            <w:t xml:space="preserve"> Administration of Trust</w:t>
            <w:tab/>
          </w:r>
          <w:r>
            <w:rPr>
              <w:lang w:val="en-CA"/>
            </w:rPr>
            <w:t>2</w:t>
          </w:r>
        </w:p>
        <w:p>
          <w:pPr>
            <w:pStyle w:val="TOC2"/>
            <w:widowControl/>
            <w:bidi w:val="0"/>
            <w:jc w:val="start"/>
            <w:rPr>
              <w:rFonts w:ascii="Times New Roman" w:hAnsi="Times New Roman"/>
            </w:rPr>
          </w:pPr>
          <w:r>
            <w:rPr>
              <w:caps/>
            </w:rPr>
            <w:t xml:space="preserve">Section </w:t>
          </w:r>
          <w:r>
            <w:rPr>
              <w:caps/>
              <w:strike/>
            </w:rPr>
            <w:t>3.1</w:t>
          </w:r>
          <w:r>
            <w:rPr>
              <w:caps/>
            </w:rPr>
            <w:t xml:space="preserve"> </w:t>
          </w:r>
          <w:r>
            <w:rPr>
              <w:caps/>
              <w:u w:val="double"/>
            </w:rPr>
            <w:t>3.1  </w:t>
          </w:r>
          <w:r>
            <w:rPr/>
            <w:tab/>
            <w:t>Administration of Trust.</w:t>
            <w:tab/>
          </w:r>
          <w:r>
            <w:rPr>
              <w:lang w:val="en-CA"/>
            </w:rPr>
            <w:t>2</w:t>
          </w:r>
        </w:p>
        <w:p>
          <w:pPr>
            <w:pStyle w:val="TOC2"/>
            <w:widowControl/>
            <w:bidi w:val="0"/>
            <w:jc w:val="start"/>
            <w:rPr>
              <w:rFonts w:ascii="Times New Roman" w:hAnsi="Times New Roman"/>
            </w:rPr>
          </w:pPr>
          <w:r>
            <w:rPr>
              <w:caps/>
            </w:rPr>
            <w:t xml:space="preserve">Section </w:t>
          </w:r>
          <w:r>
            <w:rPr>
              <w:caps/>
              <w:strike/>
            </w:rPr>
            <w:t>3.2</w:t>
          </w:r>
          <w:r>
            <w:rPr>
              <w:caps/>
            </w:rPr>
            <w:t xml:space="preserve"> </w:t>
          </w:r>
          <w:r>
            <w:rPr>
              <w:caps/>
              <w:u w:val="double"/>
            </w:rPr>
            <w:t>3.2  </w:t>
          </w:r>
          <w:r>
            <w:rPr/>
            <w:tab/>
            <w:t>Receipt of Trust Asset Payments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3.3</w:t>
          </w:r>
          <w:r>
            <w:rPr>
              <w:caps/>
            </w:rPr>
            <w:t xml:space="preserve"> </w:t>
          </w:r>
          <w:r>
            <w:rPr>
              <w:caps/>
              <w:u w:val="double"/>
            </w:rPr>
            <w:t>3.3  </w:t>
          </w:r>
          <w:r>
            <w:rPr/>
            <w:tab/>
            <w:t>Certificate Account.</w:t>
            <w:tab/>
          </w:r>
          <w:r>
            <w:rPr>
              <w:lang w:val="en-CA"/>
            </w:rPr>
            <w:t>2</w:t>
          </w:r>
        </w:p>
        <w:p>
          <w:pPr>
            <w:pStyle w:val="TOC2"/>
            <w:widowControl/>
            <w:bidi w:val="0"/>
            <w:jc w:val="start"/>
            <w:rPr>
              <w:rFonts w:ascii="Times New Roman" w:hAnsi="Times New Roman"/>
            </w:rPr>
          </w:pPr>
          <w:r>
            <w:rPr>
              <w:caps/>
            </w:rPr>
            <w:t xml:space="preserve">Section </w:t>
          </w:r>
          <w:r>
            <w:rPr>
              <w:caps/>
              <w:strike/>
            </w:rPr>
            <w:t>3.4</w:t>
          </w:r>
          <w:r>
            <w:rPr>
              <w:caps/>
            </w:rPr>
            <w:t xml:space="preserve"> </w:t>
          </w:r>
          <w:r>
            <w:rPr>
              <w:caps/>
              <w:u w:val="double"/>
            </w:rPr>
            <w:t>3.4  </w:t>
          </w:r>
          <w:r>
            <w:rPr/>
            <w:tab/>
            <w:t>Realization Upon Defaulted Notes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3.5</w:t>
          </w:r>
          <w:r>
            <w:rPr>
              <w:caps/>
            </w:rPr>
            <w:t xml:space="preserve"> </w:t>
          </w:r>
          <w:r>
            <w:rPr>
              <w:caps/>
              <w:u w:val="double"/>
            </w:rPr>
            <w:t>3.5  </w:t>
          </w:r>
          <w:r>
            <w:rPr/>
            <w:tab/>
            <w:t>Access to Certain Documentation</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3.6</w:t>
          </w:r>
          <w:r>
            <w:rPr>
              <w:caps/>
            </w:rPr>
            <w:t xml:space="preserve"> </w:t>
          </w:r>
          <w:r>
            <w:rPr>
              <w:caps/>
              <w:u w:val="double"/>
            </w:rPr>
            <w:t>3.6  </w:t>
          </w:r>
          <w:r>
            <w:rPr/>
            <w:tab/>
            <w:t>Expenses of Trust</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3.7</w:t>
          </w:r>
          <w:r>
            <w:rPr>
              <w:caps/>
            </w:rPr>
            <w:t xml:space="preserve"> </w:t>
          </w:r>
          <w:r>
            <w:rPr>
              <w:caps/>
              <w:u w:val="double"/>
            </w:rPr>
            <w:t>3.7  </w:t>
          </w:r>
          <w:r>
            <w:rPr/>
            <w:tab/>
            <w:t>No Merger or Consolidation of Trust</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3.8</w:t>
          </w:r>
          <w:r>
            <w:rPr>
              <w:caps/>
            </w:rPr>
            <w:t xml:space="preserve"> </w:t>
          </w:r>
          <w:r>
            <w:rPr>
              <w:caps/>
              <w:u w:val="double"/>
            </w:rPr>
            <w:t>3.8  </w:t>
          </w:r>
          <w:r>
            <w:rPr/>
            <w:tab/>
            <w:t xml:space="preserve">Exchange Rate Agency Agreement </w:t>
          </w:r>
          <w:r>
            <w:rPr>
              <w:strike/>
            </w:rPr>
            <w:t>14</w:t>
          </w:r>
          <w:r>
            <w:rPr>
              <w:u w:val="double"/>
            </w:rPr>
            <w:t>.</w:t>
          </w:r>
          <w:r>
            <w:rPr/>
            <w:tab/>
          </w:r>
          <w:r>
            <w:rPr>
              <w:lang w:val="en-CA"/>
            </w:rPr>
            <w:t>2</w:t>
          </w:r>
        </w:p>
        <w:p>
          <w:pPr>
            <w:pStyle w:val="TOC1"/>
            <w:widowControl/>
            <w:bidi w:val="0"/>
            <w:jc w:val="start"/>
            <w:rPr>
              <w:rFonts w:ascii="Times New Roman" w:hAnsi="Times New Roman"/>
            </w:rPr>
          </w:pPr>
          <w:r>
            <w:rPr>
              <w:caps/>
            </w:rPr>
            <w:t>Article IV</w:t>
          </w:r>
          <w:r>
            <w:rPr/>
            <w:t xml:space="preserve"> Distributions and Reports to Certificateholders; Transfer of Certificates</w:t>
            <w:tab/>
          </w:r>
          <w:r>
            <w:rPr>
              <w:lang w:val="en-CA"/>
            </w:rPr>
            <w:t>2</w:t>
          </w:r>
        </w:p>
        <w:p>
          <w:pPr>
            <w:pStyle w:val="TOC2"/>
            <w:widowControl/>
            <w:bidi w:val="0"/>
            <w:jc w:val="start"/>
            <w:rPr>
              <w:rFonts w:ascii="Times New Roman" w:hAnsi="Times New Roman"/>
            </w:rPr>
          </w:pPr>
          <w:r>
            <w:rPr>
              <w:caps/>
            </w:rPr>
            <w:t xml:space="preserve">Section </w:t>
          </w:r>
          <w:r>
            <w:rPr>
              <w:caps/>
              <w:strike/>
            </w:rPr>
            <w:t>4.1</w:t>
          </w:r>
          <w:r>
            <w:rPr>
              <w:caps/>
            </w:rPr>
            <w:t xml:space="preserve"> </w:t>
          </w:r>
          <w:r>
            <w:rPr>
              <w:caps/>
              <w:u w:val="double"/>
            </w:rPr>
            <w:t>4.1  </w:t>
          </w:r>
          <w:r>
            <w:rPr/>
            <w:tab/>
            <w:t>Distributions.</w:t>
            <w:tab/>
          </w:r>
          <w:r>
            <w:rPr>
              <w:lang w:val="en-CA"/>
            </w:rPr>
            <w:t>2</w:t>
          </w:r>
        </w:p>
        <w:p>
          <w:pPr>
            <w:pStyle w:val="TOC2"/>
            <w:widowControl/>
            <w:bidi w:val="0"/>
            <w:jc w:val="start"/>
            <w:rPr>
              <w:rFonts w:ascii="Times New Roman" w:hAnsi="Times New Roman"/>
            </w:rPr>
          </w:pPr>
          <w:r>
            <w:rPr>
              <w:caps/>
            </w:rPr>
            <w:t xml:space="preserve">Section </w:t>
          </w:r>
          <w:r>
            <w:rPr>
              <w:caps/>
              <w:strike/>
            </w:rPr>
            <w:t>4.2</w:t>
          </w:r>
          <w:r>
            <w:rPr>
              <w:caps/>
            </w:rPr>
            <w:t xml:space="preserve"> </w:t>
          </w:r>
          <w:r>
            <w:rPr>
              <w:caps/>
              <w:u w:val="double"/>
            </w:rPr>
            <w:t>4.2  </w:t>
          </w:r>
          <w:r>
            <w:rPr/>
            <w:tab/>
            <w:t>Final Distributions.</w:t>
            <w:tab/>
          </w:r>
          <w:r>
            <w:rPr>
              <w:lang w:val="en-CA"/>
            </w:rPr>
            <w:t>2</w:t>
          </w:r>
        </w:p>
        <w:p>
          <w:pPr>
            <w:pStyle w:val="TOC2"/>
            <w:widowControl/>
            <w:bidi w:val="0"/>
            <w:jc w:val="start"/>
            <w:rPr>
              <w:rFonts w:ascii="Times New Roman" w:hAnsi="Times New Roman"/>
            </w:rPr>
          </w:pPr>
          <w:r>
            <w:rPr>
              <w:caps/>
            </w:rPr>
            <w:t xml:space="preserve">Section </w:t>
          </w:r>
          <w:r>
            <w:rPr>
              <w:caps/>
              <w:strike/>
            </w:rPr>
            <w:t>4.3</w:t>
          </w:r>
          <w:r>
            <w:rPr>
              <w:caps/>
            </w:rPr>
            <w:t xml:space="preserve"> </w:t>
          </w:r>
          <w:r>
            <w:rPr>
              <w:caps/>
              <w:u w:val="double"/>
            </w:rPr>
            <w:t>4.3  </w:t>
          </w:r>
          <w:r>
            <w:rPr/>
            <w:tab/>
            <w:t>Reports to Certificateholders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4.4</w:t>
          </w:r>
          <w:r>
            <w:rPr>
              <w:caps/>
            </w:rPr>
            <w:t xml:space="preserve"> </w:t>
          </w:r>
          <w:r>
            <w:rPr>
              <w:caps/>
              <w:u w:val="double"/>
            </w:rPr>
            <w:t>4.4  </w:t>
          </w:r>
          <w:r>
            <w:rPr/>
            <w:tab/>
            <w:t>Compliance with Withholding Requirements; Tax Treatment and Reporting.</w:t>
            <w:tab/>
          </w:r>
          <w:r>
            <w:rPr>
              <w:lang w:val="en-CA"/>
            </w:rPr>
            <w:t>2</w:t>
          </w:r>
        </w:p>
        <w:p>
          <w:pPr>
            <w:pStyle w:val="TOC2"/>
            <w:widowControl/>
            <w:bidi w:val="0"/>
            <w:jc w:val="start"/>
            <w:rPr>
              <w:rFonts w:ascii="Times New Roman" w:hAnsi="Times New Roman"/>
            </w:rPr>
          </w:pPr>
          <w:r>
            <w:rPr>
              <w:caps/>
            </w:rPr>
            <w:t xml:space="preserve">Section </w:t>
          </w:r>
          <w:r>
            <w:rPr>
              <w:caps/>
              <w:strike/>
            </w:rPr>
            <w:t>4.5</w:t>
          </w:r>
          <w:r>
            <w:rPr>
              <w:caps/>
            </w:rPr>
            <w:t xml:space="preserve"> </w:t>
          </w:r>
          <w:r>
            <w:rPr>
              <w:caps/>
              <w:u w:val="double"/>
            </w:rPr>
            <w:t>4.5  </w:t>
          </w:r>
          <w:r>
            <w:rPr/>
            <w:tab/>
            <w:t>Transfer of Certificates.</w:t>
            <w:tab/>
          </w:r>
          <w:r>
            <w:rPr>
              <w:lang w:val="en-CA"/>
            </w:rPr>
            <w:t>2</w:t>
          </w:r>
        </w:p>
        <w:p>
          <w:pPr>
            <w:pStyle w:val="TOC2"/>
            <w:widowControl/>
            <w:bidi w:val="0"/>
            <w:jc w:val="start"/>
            <w:rPr>
              <w:rFonts w:ascii="Times New Roman" w:hAnsi="Times New Roman"/>
            </w:rPr>
          </w:pPr>
          <w:r>
            <w:rPr>
              <w:caps/>
            </w:rPr>
            <w:t xml:space="preserve">Section </w:t>
          </w:r>
          <w:r>
            <w:rPr>
              <w:caps/>
              <w:strike/>
            </w:rPr>
            <w:t>4.6</w:t>
          </w:r>
          <w:r>
            <w:rPr>
              <w:caps/>
            </w:rPr>
            <w:t xml:space="preserve"> </w:t>
          </w:r>
          <w:r>
            <w:rPr>
              <w:caps/>
              <w:u w:val="double"/>
            </w:rPr>
            <w:t>4.6  </w:t>
          </w:r>
          <w:r>
            <w:rPr/>
            <w:tab/>
            <w:t>Rule 144A Information</w:t>
          </w:r>
          <w:r>
            <w:rPr>
              <w:u w:val="double"/>
            </w:rPr>
            <w:t>.</w:t>
          </w:r>
          <w:r>
            <w:rPr/>
            <w:tab/>
          </w:r>
          <w:r>
            <w:rPr>
              <w:lang w:val="en-CA"/>
            </w:rPr>
            <w:t>2</w:t>
          </w:r>
        </w:p>
        <w:p>
          <w:pPr>
            <w:pStyle w:val="TOC1"/>
            <w:widowControl/>
            <w:bidi w:val="0"/>
            <w:jc w:val="start"/>
            <w:rPr>
              <w:rFonts w:ascii="Times New Roman" w:hAnsi="Times New Roman"/>
            </w:rPr>
          </w:pPr>
          <w:r>
            <w:rPr>
              <w:caps/>
            </w:rPr>
            <w:t>Article V</w:t>
          </w:r>
          <w:r>
            <w:rPr/>
            <w:t xml:space="preserve"> Security Forms</w:t>
            <w:tab/>
          </w:r>
          <w:r>
            <w:rPr>
              <w:lang w:val="en-CA"/>
            </w:rPr>
            <w:t>2</w:t>
          </w:r>
        </w:p>
        <w:p>
          <w:pPr>
            <w:pStyle w:val="TOC2"/>
            <w:widowControl/>
            <w:bidi w:val="0"/>
            <w:jc w:val="start"/>
            <w:rPr>
              <w:rFonts w:ascii="Times New Roman" w:hAnsi="Times New Roman"/>
            </w:rPr>
          </w:pPr>
          <w:r>
            <w:rPr>
              <w:caps/>
            </w:rPr>
            <w:t xml:space="preserve">Section </w:t>
          </w:r>
          <w:r>
            <w:rPr>
              <w:caps/>
              <w:strike/>
            </w:rPr>
            <w:t>5.1</w:t>
          </w:r>
          <w:r>
            <w:rPr>
              <w:caps/>
            </w:rPr>
            <w:t xml:space="preserve"> </w:t>
          </w:r>
          <w:r>
            <w:rPr>
              <w:caps/>
              <w:u w:val="double"/>
            </w:rPr>
            <w:t>5.1  </w:t>
          </w:r>
          <w:r>
            <w:rPr/>
            <w:tab/>
            <w:t xml:space="preserve">Forms Generally </w:t>
          </w:r>
          <w:r>
            <w:rPr>
              <w:strike/>
            </w:rPr>
            <w:t>19</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5.2</w:t>
          </w:r>
          <w:r>
            <w:rPr>
              <w:caps/>
            </w:rPr>
            <w:t xml:space="preserve"> </w:t>
          </w:r>
          <w:r>
            <w:rPr>
              <w:caps/>
              <w:u w:val="double"/>
            </w:rPr>
            <w:t>5.2  </w:t>
          </w:r>
          <w:r>
            <w:rPr/>
            <w:tab/>
            <w:t>Restricted Legend</w:t>
          </w:r>
          <w:r>
            <w:rPr>
              <w:u w:val="double"/>
            </w:rPr>
            <w:t>.</w:t>
          </w:r>
          <w:r>
            <w:rPr/>
            <w:tab/>
          </w:r>
          <w:r>
            <w:rPr>
              <w:lang w:val="en-CA"/>
            </w:rPr>
            <w:t>2</w:t>
          </w:r>
        </w:p>
        <w:p>
          <w:pPr>
            <w:pStyle w:val="TOC1"/>
            <w:widowControl/>
            <w:bidi w:val="0"/>
            <w:jc w:val="start"/>
            <w:rPr>
              <w:rFonts w:ascii="Times New Roman" w:hAnsi="Times New Roman"/>
            </w:rPr>
          </w:pPr>
          <w:r>
            <w:rPr>
              <w:caps/>
            </w:rPr>
            <w:t>Article VI</w:t>
          </w:r>
          <w:r>
            <w:rPr/>
            <w:t xml:space="preserve"> The Certificates</w:t>
            <w:tab/>
          </w:r>
          <w:r>
            <w:rPr>
              <w:lang w:val="en-CA"/>
            </w:rPr>
            <w:t>2</w:t>
          </w:r>
        </w:p>
        <w:p>
          <w:pPr>
            <w:pStyle w:val="TOC2"/>
            <w:widowControl/>
            <w:bidi w:val="0"/>
            <w:jc w:val="start"/>
            <w:rPr>
              <w:rFonts w:ascii="Times New Roman" w:hAnsi="Times New Roman"/>
            </w:rPr>
          </w:pPr>
          <w:r>
            <w:rPr>
              <w:caps/>
            </w:rPr>
            <w:t xml:space="preserve">Section </w:t>
          </w:r>
          <w:r>
            <w:rPr>
              <w:caps/>
              <w:strike/>
            </w:rPr>
            <w:t>6.1</w:t>
          </w:r>
          <w:r>
            <w:rPr>
              <w:caps/>
            </w:rPr>
            <w:t xml:space="preserve"> </w:t>
          </w:r>
          <w:r>
            <w:rPr>
              <w:caps/>
              <w:u w:val="double"/>
            </w:rPr>
            <w:t>6.1  </w:t>
          </w:r>
          <w:r>
            <w:rPr/>
            <w:tab/>
            <w:t>Designation; Certificate Principal Amount and Denominations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6.2</w:t>
          </w:r>
          <w:r>
            <w:rPr>
              <w:caps/>
            </w:rPr>
            <w:t xml:space="preserve"> </w:t>
          </w:r>
          <w:r>
            <w:rPr>
              <w:caps/>
              <w:u w:val="double"/>
            </w:rPr>
            <w:t>6.2  </w:t>
          </w:r>
          <w:r>
            <w:rPr/>
            <w:tab/>
            <w:t>Execution, Authentication and Delivery.</w:t>
            <w:tab/>
          </w:r>
          <w:r>
            <w:rPr>
              <w:lang w:val="en-CA"/>
            </w:rPr>
            <w:t>2</w:t>
          </w:r>
        </w:p>
        <w:p>
          <w:pPr>
            <w:pStyle w:val="TOC2"/>
            <w:widowControl/>
            <w:bidi w:val="0"/>
            <w:jc w:val="start"/>
            <w:rPr>
              <w:rFonts w:ascii="Times New Roman" w:hAnsi="Times New Roman"/>
            </w:rPr>
          </w:pPr>
          <w:r>
            <w:rPr>
              <w:caps/>
            </w:rPr>
            <w:t xml:space="preserve">Section </w:t>
          </w:r>
          <w:r>
            <w:rPr>
              <w:caps/>
              <w:strike/>
            </w:rPr>
            <w:t>6.3</w:t>
          </w:r>
          <w:r>
            <w:rPr>
              <w:caps/>
            </w:rPr>
            <w:t xml:space="preserve"> </w:t>
          </w:r>
          <w:r>
            <w:rPr>
              <w:caps/>
              <w:u w:val="double"/>
            </w:rPr>
            <w:t>6.3  </w:t>
          </w:r>
          <w:r>
            <w:rPr/>
            <w:tab/>
            <w:t>Registration; Registration of Transfer and Exchange.</w:t>
            <w:tab/>
          </w:r>
          <w:r>
            <w:rPr>
              <w:lang w:val="en-CA"/>
            </w:rPr>
            <w:t>2</w:t>
          </w:r>
        </w:p>
        <w:p>
          <w:pPr>
            <w:pStyle w:val="TOC2"/>
            <w:widowControl/>
            <w:bidi w:val="0"/>
            <w:jc w:val="start"/>
            <w:rPr>
              <w:rFonts w:ascii="Times New Roman" w:hAnsi="Times New Roman"/>
            </w:rPr>
          </w:pPr>
          <w:r>
            <w:rPr>
              <w:caps/>
            </w:rPr>
            <w:t xml:space="preserve">Section </w:t>
          </w:r>
          <w:r>
            <w:rPr>
              <w:caps/>
              <w:strike/>
            </w:rPr>
            <w:t>6.4</w:t>
          </w:r>
          <w:r>
            <w:rPr>
              <w:caps/>
            </w:rPr>
            <w:t xml:space="preserve"> </w:t>
          </w:r>
          <w:r>
            <w:rPr>
              <w:caps/>
              <w:u w:val="double"/>
            </w:rPr>
            <w:t>6.4  </w:t>
          </w:r>
          <w:r>
            <w:rPr/>
            <w:tab/>
            <w:t>Mutilated, Destroyed, Lost or Stolen Certificates.</w:t>
            <w:tab/>
          </w:r>
          <w:r>
            <w:rPr>
              <w:lang w:val="en-CA"/>
            </w:rPr>
            <w:t>2</w:t>
          </w:r>
        </w:p>
        <w:p>
          <w:pPr>
            <w:pStyle w:val="TOC2"/>
            <w:widowControl/>
            <w:bidi w:val="0"/>
            <w:jc w:val="start"/>
            <w:rPr>
              <w:rFonts w:ascii="Times New Roman" w:hAnsi="Times New Roman"/>
            </w:rPr>
          </w:pPr>
          <w:r>
            <w:rPr>
              <w:caps/>
            </w:rPr>
            <w:t xml:space="preserve">Section </w:t>
          </w:r>
          <w:r>
            <w:rPr>
              <w:caps/>
              <w:strike/>
            </w:rPr>
            <w:t>6.5</w:t>
          </w:r>
          <w:r>
            <w:rPr>
              <w:caps/>
            </w:rPr>
            <w:t xml:space="preserve"> </w:t>
          </w:r>
          <w:r>
            <w:rPr>
              <w:caps/>
              <w:u w:val="double"/>
            </w:rPr>
            <w:t>6.5  </w:t>
          </w:r>
          <w:r>
            <w:rPr/>
            <w:tab/>
            <w:t>Distribution of Available Funds.</w:t>
            <w:tab/>
          </w:r>
          <w:r>
            <w:rPr>
              <w:lang w:val="en-CA"/>
            </w:rPr>
            <w:t>2</w:t>
          </w:r>
        </w:p>
        <w:p>
          <w:pPr>
            <w:pStyle w:val="TOC2"/>
            <w:widowControl/>
            <w:bidi w:val="0"/>
            <w:jc w:val="start"/>
            <w:rPr>
              <w:rFonts w:ascii="Times New Roman" w:hAnsi="Times New Roman"/>
            </w:rPr>
          </w:pPr>
          <w:r>
            <w:rPr>
              <w:caps/>
            </w:rPr>
            <w:t xml:space="preserve">Section </w:t>
          </w:r>
          <w:r>
            <w:rPr>
              <w:caps/>
              <w:strike/>
            </w:rPr>
            <w:t>6.6</w:t>
          </w:r>
          <w:r>
            <w:rPr>
              <w:caps/>
            </w:rPr>
            <w:t xml:space="preserve"> </w:t>
          </w:r>
          <w:r>
            <w:rPr>
              <w:caps/>
              <w:u w:val="double"/>
            </w:rPr>
            <w:t>6.6  </w:t>
          </w:r>
          <w:r>
            <w:rPr/>
            <w:tab/>
            <w:t>Persons Deemed Owners.</w:t>
            <w:tab/>
          </w:r>
          <w:r>
            <w:rPr>
              <w:lang w:val="en-CA"/>
            </w:rPr>
            <w:t>2</w:t>
          </w:r>
        </w:p>
        <w:p>
          <w:pPr>
            <w:pStyle w:val="TOC2"/>
            <w:widowControl/>
            <w:bidi w:val="0"/>
            <w:jc w:val="start"/>
            <w:rPr>
              <w:rFonts w:ascii="Times New Roman" w:hAnsi="Times New Roman"/>
            </w:rPr>
          </w:pPr>
          <w:r>
            <w:rPr>
              <w:caps/>
            </w:rPr>
            <w:t xml:space="preserve">Section </w:t>
          </w:r>
          <w:r>
            <w:rPr>
              <w:caps/>
              <w:strike/>
            </w:rPr>
            <w:t>6.7</w:t>
          </w:r>
          <w:r>
            <w:rPr>
              <w:caps/>
            </w:rPr>
            <w:t xml:space="preserve"> </w:t>
          </w:r>
          <w:r>
            <w:rPr>
              <w:caps/>
              <w:u w:val="double"/>
            </w:rPr>
            <w:t>6.7  </w:t>
          </w:r>
          <w:r>
            <w:rPr/>
            <w:tab/>
            <w:t>Cancellation</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6.8</w:t>
          </w:r>
          <w:r>
            <w:rPr>
              <w:caps/>
            </w:rPr>
            <w:t xml:space="preserve"> </w:t>
          </w:r>
          <w:r>
            <w:rPr>
              <w:caps/>
              <w:u w:val="double"/>
            </w:rPr>
            <w:t>6.8  </w:t>
          </w:r>
          <w:r>
            <w:rPr/>
            <w:tab/>
            <w:t>Global Securities.</w:t>
            <w:tab/>
          </w:r>
          <w:r>
            <w:rPr>
              <w:lang w:val="en-CA"/>
            </w:rPr>
            <w:t>2</w:t>
          </w:r>
        </w:p>
        <w:p>
          <w:pPr>
            <w:pStyle w:val="TOC2"/>
            <w:widowControl/>
            <w:bidi w:val="0"/>
            <w:jc w:val="start"/>
            <w:rPr>
              <w:rFonts w:ascii="Times New Roman" w:hAnsi="Times New Roman"/>
            </w:rPr>
          </w:pPr>
          <w:r>
            <w:rPr>
              <w:caps/>
            </w:rPr>
            <w:t xml:space="preserve">Section </w:t>
          </w:r>
          <w:r>
            <w:rPr>
              <w:caps/>
              <w:strike/>
            </w:rPr>
            <w:t>6.9</w:t>
          </w:r>
          <w:r>
            <w:rPr>
              <w:caps/>
            </w:rPr>
            <w:t xml:space="preserve"> </w:t>
          </w:r>
          <w:r>
            <w:rPr>
              <w:caps/>
              <w:u w:val="double"/>
            </w:rPr>
            <w:t>6.9  </w:t>
          </w:r>
          <w:r>
            <w:rPr/>
            <w:tab/>
            <w:t>Notices to Depository</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6.10</w:t>
          </w:r>
          <w:r>
            <w:rPr>
              <w:caps/>
            </w:rPr>
            <w:t xml:space="preserve"> </w:t>
          </w:r>
          <w:r>
            <w:rPr>
              <w:caps/>
              <w:u w:val="double"/>
            </w:rPr>
            <w:t>6.10  </w:t>
          </w:r>
          <w:r>
            <w:rPr/>
            <w:tab/>
            <w:t>Conditions of Authentication and Delivery</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6.11</w:t>
          </w:r>
          <w:r>
            <w:rPr>
              <w:caps/>
            </w:rPr>
            <w:t xml:space="preserve"> </w:t>
          </w:r>
          <w:r>
            <w:rPr>
              <w:caps/>
              <w:u w:val="double"/>
            </w:rPr>
            <w:t>6.11  </w:t>
          </w:r>
          <w:r>
            <w:rPr/>
            <w:tab/>
            <w:t>Appointment of Paying Agent</w:t>
          </w:r>
          <w:r>
            <w:rPr>
              <w:i/>
            </w:rPr>
            <w:t xml:space="preserve"> </w:t>
          </w:r>
          <w:r>
            <w:rPr>
              <w:i/>
              <w:strike/>
            </w:rPr>
            <w:t>28</w:t>
          </w:r>
          <w:r>
            <w:rPr>
              <w:i/>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6.12</w:t>
          </w:r>
          <w:r>
            <w:rPr>
              <w:caps/>
            </w:rPr>
            <w:t xml:space="preserve"> </w:t>
          </w:r>
          <w:r>
            <w:rPr>
              <w:caps/>
              <w:u w:val="double"/>
            </w:rPr>
            <w:t>6.12  </w:t>
          </w:r>
          <w:r>
            <w:rPr/>
            <w:tab/>
            <w:t>Authenticating Agent.</w:t>
            <w:tab/>
          </w:r>
          <w:r>
            <w:rPr>
              <w:lang w:val="en-CA"/>
            </w:rPr>
            <w:t>2</w:t>
          </w:r>
        </w:p>
        <w:p>
          <w:pPr>
            <w:pStyle w:val="TOC2"/>
            <w:widowControl/>
            <w:bidi w:val="0"/>
            <w:jc w:val="start"/>
            <w:rPr>
              <w:rFonts w:ascii="Times New Roman" w:hAnsi="Times New Roman"/>
            </w:rPr>
          </w:pPr>
          <w:r>
            <w:rPr>
              <w:caps/>
            </w:rPr>
            <w:t xml:space="preserve">Section </w:t>
          </w:r>
          <w:r>
            <w:rPr>
              <w:caps/>
              <w:strike/>
            </w:rPr>
            <w:t>6.13</w:t>
          </w:r>
          <w:r>
            <w:rPr>
              <w:caps/>
            </w:rPr>
            <w:t xml:space="preserve"> </w:t>
          </w:r>
          <w:r>
            <w:rPr>
              <w:caps/>
              <w:u w:val="double"/>
            </w:rPr>
            <w:t>6.13  </w:t>
          </w:r>
          <w:r>
            <w:rPr/>
            <w:tab/>
            <w:t>Remedies</w:t>
          </w:r>
          <w:r>
            <w:rPr>
              <w:u w:val="double"/>
            </w:rPr>
            <w:t>.</w:t>
          </w:r>
          <w:r>
            <w:rPr/>
            <w:tab/>
          </w:r>
          <w:r>
            <w:rPr>
              <w:lang w:val="en-CA"/>
            </w:rPr>
            <w:t>2</w:t>
          </w:r>
        </w:p>
        <w:p>
          <w:pPr>
            <w:pStyle w:val="TOC1"/>
            <w:widowControl/>
            <w:bidi w:val="0"/>
            <w:jc w:val="start"/>
            <w:rPr>
              <w:rFonts w:ascii="Times New Roman" w:hAnsi="Times New Roman"/>
            </w:rPr>
          </w:pPr>
          <w:r>
            <w:rPr>
              <w:caps/>
            </w:rPr>
            <w:t>Article VII</w:t>
          </w:r>
          <w:r>
            <w:rPr/>
            <w:t xml:space="preserve"> The Company</w:t>
            <w:tab/>
          </w:r>
          <w:r>
            <w:rPr>
              <w:lang w:val="en-CA"/>
            </w:rPr>
            <w:t>2</w:t>
          </w:r>
        </w:p>
        <w:p>
          <w:pPr>
            <w:pStyle w:val="TOC2"/>
            <w:widowControl/>
            <w:bidi w:val="0"/>
            <w:jc w:val="start"/>
            <w:rPr>
              <w:rFonts w:ascii="Times New Roman" w:hAnsi="Times New Roman"/>
            </w:rPr>
          </w:pPr>
          <w:r>
            <w:rPr>
              <w:caps/>
            </w:rPr>
            <w:t xml:space="preserve">Section </w:t>
          </w:r>
          <w:r>
            <w:rPr>
              <w:caps/>
              <w:strike/>
            </w:rPr>
            <w:t>7.1</w:t>
          </w:r>
          <w:r>
            <w:rPr>
              <w:caps/>
            </w:rPr>
            <w:t xml:space="preserve"> </w:t>
          </w:r>
          <w:r>
            <w:rPr>
              <w:caps/>
              <w:u w:val="double"/>
            </w:rPr>
            <w:t>7.1  </w:t>
          </w:r>
          <w:r>
            <w:rPr/>
            <w:tab/>
            <w:t xml:space="preserve">Liability of Company </w:t>
          </w:r>
          <w:r>
            <w:rPr>
              <w:strike/>
            </w:rPr>
            <w:t>30</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7.2</w:t>
          </w:r>
          <w:r>
            <w:rPr>
              <w:caps/>
            </w:rPr>
            <w:t xml:space="preserve"> </w:t>
          </w:r>
          <w:r>
            <w:rPr>
              <w:caps/>
              <w:u w:val="double"/>
            </w:rPr>
            <w:t>7.2  </w:t>
          </w:r>
          <w:r>
            <w:rPr/>
            <w:tab/>
            <w:t xml:space="preserve">Limitation on Liability of Company </w:t>
          </w:r>
          <w:r>
            <w:rPr>
              <w:strike/>
            </w:rPr>
            <w:t>30</w:t>
          </w:r>
          <w:r>
            <w:rPr>
              <w:u w:val="double"/>
            </w:rPr>
            <w:t>.</w:t>
          </w:r>
          <w:r>
            <w:rPr/>
            <w:tab/>
          </w:r>
          <w:r>
            <w:rPr>
              <w:lang w:val="en-CA"/>
            </w:rPr>
            <w:t>2</w:t>
          </w:r>
        </w:p>
        <w:p>
          <w:pPr>
            <w:pStyle w:val="TOC1"/>
            <w:widowControl/>
            <w:bidi w:val="0"/>
            <w:jc w:val="start"/>
            <w:rPr>
              <w:rFonts w:ascii="Times New Roman" w:hAnsi="Times New Roman"/>
            </w:rPr>
          </w:pPr>
          <w:r>
            <w:rPr>
              <w:caps/>
            </w:rPr>
            <w:t>Article VIII</w:t>
          </w:r>
          <w:r>
            <w:rPr/>
            <w:t xml:space="preserve"> Concerning the Currency Swap, the Call Option and the Early Redemption Right</w:t>
            <w:tab/>
          </w:r>
          <w:r>
            <w:rPr>
              <w:lang w:val="en-CA"/>
            </w:rPr>
            <w:t>2</w:t>
          </w:r>
        </w:p>
        <w:p>
          <w:pPr>
            <w:pStyle w:val="TOC2"/>
            <w:widowControl/>
            <w:bidi w:val="0"/>
            <w:jc w:val="start"/>
            <w:rPr>
              <w:rFonts w:ascii="Times New Roman" w:hAnsi="Times New Roman"/>
            </w:rPr>
          </w:pPr>
          <w:r>
            <w:rPr>
              <w:caps/>
            </w:rPr>
            <w:t xml:space="preserve">Section </w:t>
          </w:r>
          <w:r>
            <w:rPr>
              <w:caps/>
              <w:strike/>
            </w:rPr>
            <w:t>8.1</w:t>
          </w:r>
          <w:r>
            <w:rPr>
              <w:caps/>
            </w:rPr>
            <w:t xml:space="preserve"> </w:t>
          </w:r>
          <w:r>
            <w:rPr>
              <w:caps/>
              <w:u w:val="double"/>
            </w:rPr>
            <w:t>8.1  </w:t>
          </w:r>
          <w:r>
            <w:rPr/>
            <w:tab/>
            <w:t>Currency Swap and Call Option.</w:t>
            <w:tab/>
          </w:r>
          <w:r>
            <w:rPr>
              <w:lang w:val="en-CA"/>
            </w:rPr>
            <w:t>2</w:t>
          </w:r>
        </w:p>
        <w:p>
          <w:pPr>
            <w:pStyle w:val="TOC2"/>
            <w:widowControl/>
            <w:bidi w:val="0"/>
            <w:jc w:val="start"/>
            <w:rPr>
              <w:rFonts w:ascii="Times New Roman" w:hAnsi="Times New Roman"/>
            </w:rPr>
          </w:pPr>
          <w:r>
            <w:rPr>
              <w:caps/>
            </w:rPr>
            <w:t xml:space="preserve">Section </w:t>
          </w:r>
          <w:r>
            <w:rPr>
              <w:caps/>
              <w:strike/>
            </w:rPr>
            <w:t>8.2</w:t>
          </w:r>
          <w:r>
            <w:rPr>
              <w:caps/>
            </w:rPr>
            <w:t xml:space="preserve"> </w:t>
          </w:r>
          <w:r>
            <w:rPr>
              <w:caps/>
              <w:u w:val="double"/>
            </w:rPr>
            <w:t>8.2  </w:t>
          </w:r>
          <w:r>
            <w:rPr/>
            <w:tab/>
            <w:t>Obligations to the Callholder.</w:t>
            <w:tab/>
          </w:r>
          <w:r>
            <w:rPr>
              <w:lang w:val="en-CA"/>
            </w:rPr>
            <w:t>2</w:t>
          </w:r>
        </w:p>
        <w:p>
          <w:pPr>
            <w:pStyle w:val="TOC2"/>
            <w:widowControl/>
            <w:bidi w:val="0"/>
            <w:jc w:val="start"/>
            <w:rPr>
              <w:rFonts w:ascii="Times New Roman" w:hAnsi="Times New Roman"/>
            </w:rPr>
          </w:pPr>
          <w:r>
            <w:rPr>
              <w:caps/>
            </w:rPr>
            <w:t xml:space="preserve">Section </w:t>
          </w:r>
          <w:r>
            <w:rPr>
              <w:caps/>
              <w:strike/>
            </w:rPr>
            <w:t>8.3</w:t>
          </w:r>
          <w:r>
            <w:rPr>
              <w:caps/>
            </w:rPr>
            <w:t xml:space="preserve"> </w:t>
          </w:r>
          <w:r>
            <w:rPr>
              <w:caps/>
              <w:u w:val="double"/>
            </w:rPr>
            <w:t>8.3  </w:t>
          </w:r>
          <w:r>
            <w:rPr/>
            <w:tab/>
            <w:t>Early Redemption Right.</w:t>
            <w:tab/>
          </w:r>
          <w:r>
            <w:rPr>
              <w:lang w:val="en-CA"/>
            </w:rPr>
            <w:t>2</w:t>
          </w:r>
        </w:p>
        <w:p>
          <w:pPr>
            <w:pStyle w:val="TOC1"/>
            <w:widowControl/>
            <w:bidi w:val="0"/>
            <w:jc w:val="start"/>
            <w:rPr>
              <w:rFonts w:ascii="Times New Roman" w:hAnsi="Times New Roman"/>
            </w:rPr>
          </w:pPr>
          <w:r>
            <w:rPr>
              <w:caps/>
            </w:rPr>
            <w:t>Article IX</w:t>
          </w:r>
          <w:r>
            <w:rPr/>
            <w:t xml:space="preserve"> Concerning the Trustee</w:t>
            <w:tab/>
          </w:r>
          <w:r>
            <w:rPr>
              <w:lang w:val="en-CA"/>
            </w:rPr>
            <w:t>2</w:t>
          </w:r>
        </w:p>
        <w:p>
          <w:pPr>
            <w:pStyle w:val="TOC2"/>
            <w:widowControl/>
            <w:bidi w:val="0"/>
            <w:jc w:val="start"/>
            <w:rPr>
              <w:rFonts w:ascii="Times New Roman" w:hAnsi="Times New Roman"/>
            </w:rPr>
          </w:pPr>
          <w:r>
            <w:rPr>
              <w:caps/>
            </w:rPr>
            <w:t xml:space="preserve">Section </w:t>
          </w:r>
          <w:r>
            <w:rPr>
              <w:caps/>
              <w:strike/>
            </w:rPr>
            <w:t>9.1</w:t>
          </w:r>
          <w:r>
            <w:rPr>
              <w:caps/>
            </w:rPr>
            <w:t xml:space="preserve"> </w:t>
          </w:r>
          <w:r>
            <w:rPr>
              <w:caps/>
              <w:u w:val="double"/>
            </w:rPr>
            <w:t>9.1  </w:t>
          </w:r>
          <w:r>
            <w:rPr/>
            <w:tab/>
            <w:t>Duties of Trustee; Notice of Defaults.</w:t>
            <w:tab/>
          </w:r>
          <w:r>
            <w:rPr>
              <w:lang w:val="en-CA"/>
            </w:rPr>
            <w:t>2</w:t>
          </w:r>
        </w:p>
        <w:p>
          <w:pPr>
            <w:pStyle w:val="TOC2"/>
            <w:widowControl/>
            <w:bidi w:val="0"/>
            <w:jc w:val="start"/>
            <w:rPr>
              <w:rFonts w:ascii="Times New Roman" w:hAnsi="Times New Roman"/>
            </w:rPr>
          </w:pPr>
          <w:r>
            <w:rPr>
              <w:caps/>
            </w:rPr>
            <w:t xml:space="preserve">Section </w:t>
          </w:r>
          <w:r>
            <w:rPr>
              <w:caps/>
              <w:strike/>
            </w:rPr>
            <w:t>9.2</w:t>
          </w:r>
          <w:r>
            <w:rPr>
              <w:caps/>
            </w:rPr>
            <w:t xml:space="preserve"> </w:t>
          </w:r>
          <w:r>
            <w:rPr>
              <w:caps/>
              <w:u w:val="double"/>
            </w:rPr>
            <w:t>9.2  </w:t>
          </w:r>
          <w:r>
            <w:rPr/>
            <w:tab/>
            <w:t>Certain Matters Affecting the Trustee.</w:t>
            <w:tab/>
          </w:r>
          <w:r>
            <w:rPr>
              <w:lang w:val="en-CA"/>
            </w:rPr>
            <w:t>2</w:t>
          </w:r>
        </w:p>
        <w:p>
          <w:pPr>
            <w:pStyle w:val="TOC2"/>
            <w:widowControl/>
            <w:bidi w:val="0"/>
            <w:jc w:val="start"/>
            <w:rPr>
              <w:rFonts w:ascii="Times New Roman" w:hAnsi="Times New Roman"/>
            </w:rPr>
          </w:pPr>
          <w:r>
            <w:rPr>
              <w:caps/>
            </w:rPr>
            <w:t xml:space="preserve">Section </w:t>
          </w:r>
          <w:r>
            <w:rPr>
              <w:caps/>
              <w:strike/>
            </w:rPr>
            <w:t>9.3</w:t>
          </w:r>
          <w:r>
            <w:rPr>
              <w:caps/>
            </w:rPr>
            <w:t xml:space="preserve"> </w:t>
          </w:r>
          <w:r>
            <w:rPr>
              <w:caps/>
              <w:u w:val="double"/>
            </w:rPr>
            <w:t>9.3  </w:t>
          </w:r>
          <w:r>
            <w:rPr/>
            <w:tab/>
            <w:t>Trustee Not Liable for Recitals in Certificates or Trust Assets</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9.4</w:t>
          </w:r>
          <w:r>
            <w:rPr>
              <w:caps/>
            </w:rPr>
            <w:t xml:space="preserve"> </w:t>
          </w:r>
          <w:r>
            <w:rPr>
              <w:caps/>
              <w:u w:val="double"/>
            </w:rPr>
            <w:t>9.4  </w:t>
          </w:r>
          <w:r>
            <w:rPr/>
            <w:tab/>
            <w:t xml:space="preserve">Trustee May Own Certificates </w:t>
          </w:r>
          <w:r>
            <w:rPr>
              <w:strike/>
            </w:rPr>
            <w:t>35</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9.5</w:t>
          </w:r>
          <w:r>
            <w:rPr>
              <w:caps/>
            </w:rPr>
            <w:t xml:space="preserve"> </w:t>
          </w:r>
          <w:r>
            <w:rPr>
              <w:caps/>
              <w:u w:val="double"/>
            </w:rPr>
            <w:t>9.5  </w:t>
          </w:r>
          <w:r>
            <w:rPr/>
            <w:tab/>
            <w:t>Trustee’s Fees and Expenses; Indemnification.</w:t>
            <w:tab/>
          </w:r>
          <w:r>
            <w:rPr>
              <w:lang w:val="en-CA"/>
            </w:rPr>
            <w:t>2</w:t>
          </w:r>
        </w:p>
        <w:p>
          <w:pPr>
            <w:pStyle w:val="TOC2"/>
            <w:widowControl/>
            <w:bidi w:val="0"/>
            <w:jc w:val="start"/>
            <w:rPr>
              <w:rFonts w:ascii="Times New Roman" w:hAnsi="Times New Roman"/>
            </w:rPr>
          </w:pPr>
          <w:r>
            <w:rPr>
              <w:caps/>
            </w:rPr>
            <w:t xml:space="preserve">Section </w:t>
          </w:r>
          <w:r>
            <w:rPr>
              <w:caps/>
              <w:strike/>
            </w:rPr>
            <w:t>9.6</w:t>
          </w:r>
          <w:r>
            <w:rPr>
              <w:caps/>
            </w:rPr>
            <w:t xml:space="preserve"> </w:t>
          </w:r>
          <w:r>
            <w:rPr>
              <w:caps/>
              <w:u w:val="double"/>
            </w:rPr>
            <w:t>9.6  </w:t>
          </w:r>
          <w:r>
            <w:rPr/>
            <w:tab/>
            <w:t>Eligibility Requirements for Trustee</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9.7</w:t>
          </w:r>
          <w:r>
            <w:rPr>
              <w:caps/>
            </w:rPr>
            <w:t xml:space="preserve"> </w:t>
          </w:r>
          <w:r>
            <w:rPr>
              <w:caps/>
              <w:u w:val="double"/>
            </w:rPr>
            <w:t>9.7  </w:t>
          </w:r>
          <w:r>
            <w:rPr/>
            <w:tab/>
            <w:t>Resignation or Removal of the Trustee.</w:t>
            <w:tab/>
          </w:r>
          <w:r>
            <w:rPr>
              <w:lang w:val="en-CA"/>
            </w:rPr>
            <w:t>2</w:t>
          </w:r>
        </w:p>
        <w:p>
          <w:pPr>
            <w:pStyle w:val="TOC2"/>
            <w:widowControl/>
            <w:bidi w:val="0"/>
            <w:jc w:val="start"/>
            <w:rPr>
              <w:rFonts w:ascii="Times New Roman" w:hAnsi="Times New Roman"/>
            </w:rPr>
          </w:pPr>
          <w:r>
            <w:rPr>
              <w:caps/>
            </w:rPr>
            <w:t xml:space="preserve">Section </w:t>
          </w:r>
          <w:r>
            <w:rPr>
              <w:caps/>
              <w:strike/>
            </w:rPr>
            <w:t>9.8</w:t>
          </w:r>
          <w:r>
            <w:rPr>
              <w:caps/>
            </w:rPr>
            <w:t xml:space="preserve"> </w:t>
          </w:r>
          <w:r>
            <w:rPr>
              <w:caps/>
              <w:u w:val="double"/>
            </w:rPr>
            <w:t>9.8  </w:t>
          </w:r>
          <w:r>
            <w:rPr/>
            <w:tab/>
            <w:t>Successor Trustee.</w:t>
            <w:tab/>
          </w:r>
          <w:r>
            <w:rPr>
              <w:lang w:val="en-CA"/>
            </w:rPr>
            <w:t>2</w:t>
          </w:r>
        </w:p>
        <w:p>
          <w:pPr>
            <w:pStyle w:val="TOC2"/>
            <w:widowControl/>
            <w:bidi w:val="0"/>
            <w:jc w:val="start"/>
            <w:rPr>
              <w:rFonts w:ascii="Times New Roman" w:hAnsi="Times New Roman"/>
            </w:rPr>
          </w:pPr>
          <w:r>
            <w:rPr>
              <w:caps/>
            </w:rPr>
            <w:t xml:space="preserve">Section </w:t>
          </w:r>
          <w:r>
            <w:rPr>
              <w:caps/>
              <w:strike/>
            </w:rPr>
            <w:t>9.9</w:t>
          </w:r>
          <w:r>
            <w:rPr>
              <w:caps/>
            </w:rPr>
            <w:t xml:space="preserve"> </w:t>
          </w:r>
          <w:r>
            <w:rPr>
              <w:caps/>
              <w:u w:val="double"/>
            </w:rPr>
            <w:t>9.9  </w:t>
          </w:r>
          <w:r>
            <w:rPr/>
            <w:tab/>
            <w:t>Merger or Consolidation of Trustee</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9.10</w:t>
          </w:r>
          <w:r>
            <w:rPr>
              <w:caps/>
            </w:rPr>
            <w:t xml:space="preserve"> </w:t>
          </w:r>
          <w:r>
            <w:rPr>
              <w:caps/>
              <w:u w:val="double"/>
            </w:rPr>
            <w:t>9.10  </w:t>
          </w:r>
          <w:r>
            <w:rPr/>
            <w:tab/>
            <w:t xml:space="preserve">Appointment of Office or Agency </w:t>
          </w:r>
          <w:r>
            <w:rPr>
              <w:strike/>
            </w:rPr>
            <w:t>37</w:t>
          </w:r>
          <w:r>
            <w:rPr>
              <w:u w:val="double"/>
            </w:rPr>
            <w:t>.</w:t>
          </w:r>
          <w:r>
            <w:rPr/>
            <w:tab/>
          </w:r>
          <w:r>
            <w:rPr>
              <w:lang w:val="en-CA"/>
            </w:rPr>
            <w:t>2</w:t>
          </w:r>
        </w:p>
        <w:p>
          <w:pPr>
            <w:pStyle w:val="TOC2"/>
            <w:widowControl/>
            <w:bidi w:val="0"/>
            <w:jc w:val="start"/>
            <w:rPr>
              <w:rFonts w:ascii="Times New Roman" w:hAnsi="Times New Roman"/>
            </w:rPr>
          </w:pPr>
          <w:r>
            <w:rPr>
              <w:caps/>
            </w:rPr>
            <w:t xml:space="preserve">Section </w:t>
          </w:r>
          <w:r>
            <w:rPr>
              <w:caps/>
              <w:strike/>
            </w:rPr>
            <w:t>9.11</w:t>
          </w:r>
          <w:r>
            <w:rPr>
              <w:caps/>
            </w:rPr>
            <w:t xml:space="preserve"> </w:t>
          </w:r>
          <w:r>
            <w:rPr>
              <w:caps/>
              <w:u w:val="double"/>
            </w:rPr>
            <w:t>9.11  </w:t>
          </w:r>
          <w:r>
            <w:rPr/>
            <w:tab/>
            <w:t>Representations and Warranties of Trustee</w:t>
            <w:tab/>
          </w:r>
          <w:r>
            <w:rPr>
              <w:lang w:val="en-CA"/>
            </w:rPr>
            <w:t>2</w:t>
          </w:r>
        </w:p>
        <w:p>
          <w:pPr>
            <w:pStyle w:val="TOC2"/>
            <w:widowControl/>
            <w:bidi w:val="0"/>
            <w:jc w:val="start"/>
            <w:rPr>
              <w:rFonts w:ascii="Times New Roman" w:hAnsi="Times New Roman"/>
            </w:rPr>
          </w:pPr>
          <w:r>
            <w:rPr>
              <w:caps/>
            </w:rPr>
            <w:t xml:space="preserve">Section </w:t>
          </w:r>
          <w:r>
            <w:rPr>
              <w:caps/>
              <w:strike/>
            </w:rPr>
            <w:t>9.12</w:t>
          </w:r>
          <w:r>
            <w:rPr>
              <w:caps/>
            </w:rPr>
            <w:t xml:space="preserve"> </w:t>
          </w:r>
          <w:r>
            <w:rPr>
              <w:caps/>
              <w:u w:val="double"/>
            </w:rPr>
            <w:t>9.12  </w:t>
          </w:r>
          <w:r>
            <w:rPr/>
            <w:tab/>
            <w:t>Limitation of Powers and Duties.</w:t>
            <w:tab/>
          </w:r>
          <w:r>
            <w:rPr>
              <w:lang w:val="en-CA"/>
            </w:rPr>
            <w:t>2</w:t>
          </w:r>
        </w:p>
        <w:p>
          <w:pPr>
            <w:pStyle w:val="TOC1"/>
            <w:widowControl/>
            <w:bidi w:val="0"/>
            <w:jc w:val="start"/>
            <w:rPr>
              <w:rFonts w:ascii="Times New Roman" w:hAnsi="Times New Roman"/>
            </w:rPr>
          </w:pPr>
          <w:r>
            <w:rPr>
              <w:caps/>
            </w:rPr>
            <w:t>Article X</w:t>
          </w:r>
          <w:r>
            <w:rPr/>
            <w:t xml:space="preserve"> Termination</w:t>
            <w:tab/>
          </w:r>
          <w:r>
            <w:rPr>
              <w:lang w:val="en-CA"/>
            </w:rPr>
            <w:t>2</w:t>
          </w:r>
        </w:p>
        <w:p>
          <w:pPr>
            <w:pStyle w:val="TOC2"/>
            <w:widowControl/>
            <w:bidi w:val="0"/>
            <w:jc w:val="start"/>
            <w:rPr>
              <w:rFonts w:ascii="Times New Roman" w:hAnsi="Times New Roman"/>
            </w:rPr>
          </w:pPr>
          <w:r>
            <w:rPr>
              <w:caps/>
            </w:rPr>
            <w:t xml:space="preserve">Section </w:t>
          </w:r>
          <w:r>
            <w:rPr>
              <w:caps/>
              <w:strike/>
            </w:rPr>
            <w:t>10.1</w:t>
          </w:r>
          <w:r>
            <w:rPr>
              <w:caps/>
            </w:rPr>
            <w:t xml:space="preserve"> </w:t>
          </w:r>
          <w:r>
            <w:rPr>
              <w:caps/>
              <w:u w:val="double"/>
            </w:rPr>
            <w:t>10.1  </w:t>
          </w:r>
          <w:r>
            <w:rPr/>
            <w:tab/>
            <w:t>Termination.</w:t>
            <w:tab/>
          </w:r>
          <w:r>
            <w:rPr>
              <w:lang w:val="en-CA"/>
            </w:rPr>
            <w:t>2</w:t>
          </w:r>
        </w:p>
        <w:p>
          <w:pPr>
            <w:pStyle w:val="TOC1"/>
            <w:widowControl/>
            <w:bidi w:val="0"/>
            <w:jc w:val="start"/>
            <w:rPr>
              <w:rFonts w:ascii="Times New Roman" w:hAnsi="Times New Roman"/>
            </w:rPr>
          </w:pPr>
          <w:r>
            <w:rPr>
              <w:caps/>
            </w:rPr>
            <w:t>Article XI</w:t>
          </w:r>
          <w:r>
            <w:rPr/>
            <w:t xml:space="preserve"> Miscellaneous Provisions</w:t>
            <w:tab/>
          </w:r>
          <w:r>
            <w:rPr>
              <w:lang w:val="en-CA"/>
            </w:rPr>
            <w:t>2</w:t>
          </w:r>
        </w:p>
        <w:p>
          <w:pPr>
            <w:pStyle w:val="TOC2"/>
            <w:widowControl/>
            <w:bidi w:val="0"/>
            <w:jc w:val="start"/>
            <w:rPr>
              <w:rFonts w:ascii="Times New Roman" w:hAnsi="Times New Roman"/>
            </w:rPr>
          </w:pPr>
          <w:r>
            <w:rPr>
              <w:caps/>
            </w:rPr>
            <w:t xml:space="preserve">Section </w:t>
          </w:r>
          <w:r>
            <w:rPr>
              <w:caps/>
              <w:strike/>
            </w:rPr>
            <w:t>11.1</w:t>
          </w:r>
          <w:r>
            <w:rPr>
              <w:caps/>
            </w:rPr>
            <w:t xml:space="preserve"> </w:t>
          </w:r>
          <w:r>
            <w:rPr>
              <w:caps/>
              <w:u w:val="double"/>
            </w:rPr>
            <w:t>11.1  </w:t>
          </w:r>
          <w:r>
            <w:rPr/>
            <w:tab/>
            <w:t>Amendment.</w:t>
            <w:tab/>
          </w:r>
          <w:r>
            <w:rPr>
              <w:lang w:val="en-CA"/>
            </w:rPr>
            <w:t>2</w:t>
          </w:r>
        </w:p>
        <w:p>
          <w:pPr>
            <w:pStyle w:val="TOC2"/>
            <w:widowControl/>
            <w:bidi w:val="0"/>
            <w:jc w:val="start"/>
            <w:rPr>
              <w:rFonts w:ascii="Times New Roman" w:hAnsi="Times New Roman"/>
            </w:rPr>
          </w:pPr>
          <w:r>
            <w:rPr>
              <w:caps/>
            </w:rPr>
            <w:t xml:space="preserve">Section </w:t>
          </w:r>
          <w:r>
            <w:rPr>
              <w:caps/>
              <w:strike/>
            </w:rPr>
            <w:t>11.2</w:t>
          </w:r>
          <w:r>
            <w:rPr>
              <w:caps/>
            </w:rPr>
            <w:t xml:space="preserve"> </w:t>
          </w:r>
          <w:r>
            <w:rPr>
              <w:caps/>
              <w:u w:val="double"/>
            </w:rPr>
            <w:t>11.2  </w:t>
          </w:r>
          <w:r>
            <w:rPr/>
            <w:tab/>
            <w:t>Counterparts</w:t>
            <w:tab/>
          </w:r>
          <w:r>
            <w:rPr>
              <w:lang w:val="en-CA"/>
            </w:rPr>
            <w:t>2</w:t>
          </w:r>
        </w:p>
        <w:p>
          <w:pPr>
            <w:pStyle w:val="TOC2"/>
            <w:widowControl/>
            <w:bidi w:val="0"/>
            <w:jc w:val="start"/>
            <w:rPr>
              <w:rFonts w:ascii="Times New Roman" w:hAnsi="Times New Roman"/>
            </w:rPr>
          </w:pPr>
          <w:r>
            <w:rPr>
              <w:caps/>
            </w:rPr>
            <w:t xml:space="preserve">Section </w:t>
          </w:r>
          <w:r>
            <w:rPr>
              <w:caps/>
              <w:strike/>
            </w:rPr>
            <w:t>11.3</w:t>
          </w:r>
          <w:r>
            <w:rPr>
              <w:caps/>
            </w:rPr>
            <w:t xml:space="preserve"> </w:t>
          </w:r>
          <w:r>
            <w:rPr>
              <w:caps/>
              <w:u w:val="double"/>
            </w:rPr>
            <w:t>11.3  </w:t>
          </w:r>
          <w:r>
            <w:rPr/>
            <w:tab/>
            <w:t>Limitation on Rights of Certificateholders.</w:t>
            <w:tab/>
          </w:r>
          <w:r>
            <w:rPr>
              <w:lang w:val="en-CA"/>
            </w:rPr>
            <w:t>2</w:t>
          </w:r>
        </w:p>
        <w:p>
          <w:pPr>
            <w:pStyle w:val="TOC2"/>
            <w:widowControl/>
            <w:bidi w:val="0"/>
            <w:jc w:val="start"/>
            <w:rPr>
              <w:rFonts w:ascii="Times New Roman" w:hAnsi="Times New Roman"/>
            </w:rPr>
          </w:pPr>
          <w:r>
            <w:rPr>
              <w:caps/>
            </w:rPr>
            <w:t xml:space="preserve">Section </w:t>
          </w:r>
          <w:r>
            <w:rPr>
              <w:caps/>
              <w:strike/>
            </w:rPr>
            <w:t>11.4</w:t>
          </w:r>
          <w:r>
            <w:rPr>
              <w:caps/>
            </w:rPr>
            <w:t xml:space="preserve"> </w:t>
          </w:r>
          <w:r>
            <w:rPr>
              <w:caps/>
              <w:u w:val="double"/>
            </w:rPr>
            <w:t>11.4  </w:t>
          </w:r>
          <w:r>
            <w:rPr/>
            <w:tab/>
            <w:t>Governing Law</w:t>
            <w:tab/>
          </w:r>
          <w:r>
            <w:rPr>
              <w:lang w:val="en-CA"/>
            </w:rPr>
            <w:t>2</w:t>
          </w:r>
        </w:p>
        <w:p>
          <w:pPr>
            <w:pStyle w:val="TOC2"/>
            <w:widowControl/>
            <w:bidi w:val="0"/>
            <w:jc w:val="start"/>
            <w:rPr>
              <w:rFonts w:ascii="Times New Roman" w:hAnsi="Times New Roman"/>
            </w:rPr>
          </w:pPr>
          <w:r>
            <w:rPr>
              <w:caps/>
            </w:rPr>
            <w:t xml:space="preserve">Section </w:t>
          </w:r>
          <w:r>
            <w:rPr>
              <w:caps/>
              <w:strike/>
            </w:rPr>
            <w:t>11.5</w:t>
          </w:r>
          <w:r>
            <w:rPr>
              <w:caps/>
            </w:rPr>
            <w:t xml:space="preserve"> </w:t>
          </w:r>
          <w:r>
            <w:rPr>
              <w:caps/>
              <w:u w:val="double"/>
            </w:rPr>
            <w:t>11.5  </w:t>
          </w:r>
          <w:r>
            <w:rPr/>
            <w:tab/>
            <w:t>Jurisdiction.</w:t>
            <w:tab/>
          </w:r>
          <w:r>
            <w:rPr>
              <w:lang w:val="en-CA"/>
            </w:rPr>
            <w:t>2</w:t>
          </w:r>
        </w:p>
        <w:p>
          <w:pPr>
            <w:pStyle w:val="TOC2"/>
            <w:widowControl/>
            <w:bidi w:val="0"/>
            <w:jc w:val="start"/>
            <w:rPr>
              <w:rFonts w:ascii="Times New Roman" w:hAnsi="Times New Roman"/>
            </w:rPr>
          </w:pPr>
          <w:r>
            <w:rPr>
              <w:caps/>
            </w:rPr>
            <w:t xml:space="preserve">Section </w:t>
          </w:r>
          <w:r>
            <w:rPr>
              <w:caps/>
              <w:strike/>
            </w:rPr>
            <w:t>11.6</w:t>
          </w:r>
          <w:r>
            <w:rPr>
              <w:caps/>
            </w:rPr>
            <w:t xml:space="preserve"> </w:t>
          </w:r>
          <w:r>
            <w:rPr>
              <w:caps/>
              <w:u w:val="double"/>
            </w:rPr>
            <w:t>11.6  </w:t>
          </w:r>
          <w:r>
            <w:rPr/>
            <w:tab/>
            <w:t>Notices.</w:t>
            <w:tab/>
          </w:r>
          <w:r>
            <w:rPr>
              <w:lang w:val="en-CA"/>
            </w:rPr>
            <w:t>2</w:t>
          </w:r>
        </w:p>
        <w:p>
          <w:pPr>
            <w:pStyle w:val="TOC2"/>
            <w:widowControl/>
            <w:bidi w:val="0"/>
            <w:jc w:val="start"/>
            <w:rPr>
              <w:rFonts w:ascii="Times New Roman" w:hAnsi="Times New Roman"/>
            </w:rPr>
          </w:pPr>
          <w:r>
            <w:rPr>
              <w:caps/>
            </w:rPr>
            <w:t xml:space="preserve">Section </w:t>
          </w:r>
          <w:r>
            <w:rPr>
              <w:caps/>
              <w:strike/>
            </w:rPr>
            <w:t>11.7</w:t>
          </w:r>
          <w:r>
            <w:rPr>
              <w:caps/>
            </w:rPr>
            <w:t xml:space="preserve"> </w:t>
          </w:r>
          <w:r>
            <w:rPr>
              <w:caps/>
              <w:u w:val="double"/>
            </w:rPr>
            <w:t>11.7  </w:t>
          </w:r>
          <w:r>
            <w:rPr/>
            <w:tab/>
            <w:t>Severability of Provisions</w:t>
            <w:tab/>
          </w:r>
          <w:r>
            <w:rPr>
              <w:lang w:val="en-CA"/>
            </w:rPr>
            <w:t>2</w:t>
          </w:r>
        </w:p>
        <w:p>
          <w:pPr>
            <w:pStyle w:val="TOC2"/>
            <w:widowControl/>
            <w:bidi w:val="0"/>
            <w:jc w:val="start"/>
            <w:rPr>
              <w:rFonts w:ascii="Times New Roman" w:hAnsi="Times New Roman"/>
            </w:rPr>
          </w:pPr>
          <w:r>
            <w:rPr>
              <w:caps/>
            </w:rPr>
            <w:t xml:space="preserve">Section </w:t>
          </w:r>
          <w:r>
            <w:rPr>
              <w:caps/>
              <w:strike/>
            </w:rPr>
            <w:t>11.8</w:t>
          </w:r>
          <w:r>
            <w:rPr>
              <w:caps/>
            </w:rPr>
            <w:t xml:space="preserve"> </w:t>
          </w:r>
          <w:r>
            <w:rPr>
              <w:caps/>
              <w:u w:val="double"/>
            </w:rPr>
            <w:t>11.8  </w:t>
          </w:r>
          <w:r>
            <w:rPr/>
            <w:tab/>
            <w:t>Notice to Rating Agencies</w:t>
            <w:tab/>
          </w:r>
          <w:r>
            <w:rPr>
              <w:lang w:val="en-CA"/>
            </w:rPr>
            <w:t>2</w:t>
          </w:r>
        </w:p>
        <w:p>
          <w:pPr>
            <w:pStyle w:val="TOC2"/>
            <w:widowControl/>
            <w:bidi w:val="0"/>
            <w:jc w:val="start"/>
            <w:rPr>
              <w:rFonts w:ascii="Times New Roman" w:hAnsi="Times New Roman"/>
            </w:rPr>
          </w:pPr>
          <w:r>
            <w:rPr>
              <w:caps/>
            </w:rPr>
            <w:t xml:space="preserve">Section </w:t>
          </w:r>
          <w:r>
            <w:rPr>
              <w:caps/>
              <w:strike/>
            </w:rPr>
            <w:t>11.9</w:t>
          </w:r>
          <w:r>
            <w:rPr>
              <w:caps/>
            </w:rPr>
            <w:t xml:space="preserve"> </w:t>
          </w:r>
          <w:r>
            <w:rPr>
              <w:caps/>
              <w:u w:val="double"/>
            </w:rPr>
            <w:t>11.9  </w:t>
          </w:r>
          <w:r>
            <w:rPr/>
            <w:tab/>
            <w:t>Non-petition Covenant</w:t>
            <w:tab/>
          </w:r>
          <w:r>
            <w:rPr>
              <w:lang w:val="en-CA"/>
            </w:rPr>
            <w:t>2</w:t>
          </w:r>
        </w:p>
        <w:p>
          <w:pPr>
            <w:pStyle w:val="TOC2"/>
            <w:widowControl/>
            <w:bidi w:val="0"/>
            <w:jc w:val="start"/>
            <w:rPr>
              <w:rFonts w:ascii="Times New Roman" w:hAnsi="Times New Roman"/>
            </w:rPr>
          </w:pPr>
          <w:r>
            <w:rPr>
              <w:caps/>
            </w:rPr>
            <w:t xml:space="preserve">Section </w:t>
          </w:r>
          <w:r>
            <w:rPr>
              <w:caps/>
              <w:strike/>
            </w:rPr>
            <w:t>11.10</w:t>
          </w:r>
          <w:r>
            <w:rPr>
              <w:caps/>
            </w:rPr>
            <w:t xml:space="preserve"> </w:t>
          </w:r>
          <w:r>
            <w:rPr>
              <w:caps/>
              <w:u w:val="double"/>
            </w:rPr>
            <w:t>11.10  </w:t>
          </w:r>
          <w:r>
            <w:rPr/>
            <w:tab/>
            <w:t>Compliance Certificates and Opinions, etc.</w:t>
            <w:tab/>
          </w:r>
          <w:r>
            <w:rPr>
              <w:lang w:val="en-CA"/>
            </w:rPr>
            <w:t>2</w:t>
          </w:r>
          <w:r>
            <w:rPr>
              <w:lang w:val="en-CA"/>
            </w:rPr>
            <w:fldChar w:fldCharType="end"/>
          </w:r>
        </w:p>
      </w:sdtContent>
    </w:sdt>
    <w:p>
      <w:pPr>
        <w:pStyle w:val="Normal"/>
        <w:widowControl/>
        <w:bidi w:val="0"/>
        <w:jc w:val="start"/>
        <w:rPr/>
      </w:pPr>
      <w:r>
        <w:rPr/>
      </w:r>
    </w:p>
    <w:p>
      <w:pPr>
        <w:pStyle w:val="Normal"/>
        <w:widowControl/>
        <w:bidi w:val="0"/>
        <w:jc w:val="start"/>
        <w:rPr/>
      </w:pPr>
      <w:r>
        <w:rPr/>
      </w:r>
    </w:p>
    <w:p>
      <w:pPr>
        <w:pStyle w:val="Normal"/>
        <w:widowControl/>
        <w:bidi w:val="0"/>
        <w:jc w:val="start"/>
        <w:rPr/>
      </w:pPr>
      <w:r>
        <w:rPr/>
        <w:t>Exhibit A - Form of Certificate</w:t>
      </w:r>
    </w:p>
    <w:p>
      <w:pPr>
        <w:pStyle w:val="Normal"/>
        <w:widowControl/>
        <w:bidi w:val="0"/>
        <w:jc w:val="start"/>
        <w:rPr/>
      </w:pPr>
      <w:r>
        <w:rPr/>
        <w:t>Exhibit B - Form of Confirmation for Call Option</w:t>
      </w:r>
    </w:p>
    <w:p>
      <w:pPr>
        <w:pStyle w:val="Normal"/>
        <w:widowControl/>
        <w:bidi w:val="0"/>
        <w:jc w:val="start"/>
        <w:rPr/>
      </w:pPr>
      <w:r>
        <w:rPr/>
        <w:t xml:space="preserve">Exhibit C - Form of Confirmation for Currency Swap </w:t>
      </w:r>
    </w:p>
    <w:p>
      <w:pPr>
        <w:pStyle w:val="Normal"/>
        <w:widowControl/>
        <w:bidi w:val="0"/>
        <w:ind w:hanging="1080" w:start="1080"/>
        <w:jc w:val="start"/>
        <w:rPr/>
      </w:pPr>
      <w:r>
        <w:rPr/>
        <w:t>Exhibit D - Form of Notice of Payment Default by the Swap Counterparty under the</w:t>
        <w:br/>
        <w:t xml:space="preserve"> Currency Swap</w:t>
      </w:r>
    </w:p>
    <w:p>
      <w:pPr>
        <w:pStyle w:val="Normal"/>
        <w:widowControl/>
        <w:bidi w:val="0"/>
        <w:jc w:val="start"/>
        <w:rPr/>
      </w:pPr>
      <w:r>
        <w:rPr/>
        <w:t>Exhibit E - Form of Notice of Payment Default by the Callholder under the Call Option</w:t>
      </w:r>
    </w:p>
    <w:p>
      <w:pPr>
        <w:pStyle w:val="Normal"/>
        <w:widowControl/>
        <w:bidi w:val="0"/>
        <w:jc w:val="start"/>
        <w:rPr/>
      </w:pPr>
      <w:r>
        <w:rPr/>
      </w:r>
      <w:r>
        <w:br w:type="page"/>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strike/>
        </w:rPr>
      </w:pPr>
      <w:r>
        <w:rPr>
          <w:strike/>
        </w:rPr>
        <w:t>43</w:t>
      </w:r>
    </w:p>
    <w:p>
      <w:pPr>
        <w:pStyle w:val="Normal"/>
        <w:bidi w:val="0"/>
        <w:jc w:val="start"/>
        <w:rPr>
          <w:strike/>
        </w:rPr>
      </w:pPr>
      <w:r>
        <w:rPr>
          <w:strike/>
        </w:rPr>
        <w:t>63235481.03</w:t>
      </w:r>
    </w:p>
    <w:p>
      <w:pPr>
        <w:pStyle w:val="Normal"/>
        <w:bidi w:val="0"/>
        <w:jc w:val="start"/>
        <w:rPr>
          <w:strike/>
        </w:rPr>
      </w:pPr>
      <w:r>
        <w:rPr>
          <w:strike/>
        </w:rPr>
      </w:r>
    </w:p>
    <w:p>
      <w:pPr>
        <w:pStyle w:val="Normal"/>
        <w:bidi w:val="0"/>
        <w:jc w:val="start"/>
        <w:rPr>
          <w:strike/>
        </w:rPr>
      </w:pPr>
      <w:r>
        <w:rPr>
          <w:strike/>
        </w:rPr>
        <w:t>-FOOTER 2-</w:t>
      </w:r>
    </w:p>
    <w:p>
      <w:pPr>
        <w:pStyle w:val="Normal"/>
        <w:bidi w:val="0"/>
        <w:jc w:val="start"/>
        <w:rPr>
          <w:strike/>
        </w:rPr>
      </w:pPr>
      <w:r>
        <w:rPr>
          <w:strike/>
        </w:rPr>
        <w:t>43</w:t>
      </w:r>
    </w:p>
    <w:p>
      <w:pPr>
        <w:pStyle w:val="Normal"/>
        <w:bidi w:val="0"/>
        <w:jc w:val="start"/>
        <w:rPr>
          <w:strike/>
        </w:rPr>
      </w:pPr>
      <w:r>
        <w:rPr>
          <w:strike/>
        </w:rPr>
        <w:t>63235481.03</w:t>
      </w:r>
    </w:p>
    <w:p>
      <w:pPr>
        <w:pStyle w:val="Normal"/>
        <w:bidi w:val="0"/>
        <w:jc w:val="start"/>
        <w:rPr>
          <w:strike/>
        </w:rPr>
      </w:pPr>
      <w:r>
        <w:rPr>
          <w:strike/>
        </w:rPr>
      </w:r>
    </w:p>
    <w:p>
      <w:pPr>
        <w:pStyle w:val="Normal"/>
        <w:bidi w:val="0"/>
        <w:jc w:val="start"/>
        <w:rPr>
          <w:strike/>
        </w:rPr>
      </w:pPr>
      <w:r>
        <w:rPr>
          <w:strike/>
        </w:rPr>
        <w:t>-FOOTER 3-</w:t>
      </w:r>
    </w:p>
    <w:p>
      <w:pPr>
        <w:pStyle w:val="Normal"/>
        <w:bidi w:val="0"/>
        <w:jc w:val="start"/>
        <w:rPr>
          <w:u w:val="double"/>
        </w:rPr>
      </w:pPr>
      <w:r>
        <w:rPr>
          <w:strike/>
        </w:rPr>
        <w:t>63235481.01</w:t>
      </w:r>
      <w:r>
        <w:rPr/>
        <w:t xml:space="preserve"> </w:t>
      </w:r>
      <w:r>
        <w:rPr>
          <w:u w:val="double"/>
        </w:rPr>
        <w:t>2</w:t>
      </w:r>
    </w:p>
    <w:p>
      <w:pPr>
        <w:pStyle w:val="Normal"/>
        <w:bidi w:val="0"/>
        <w:jc w:val="start"/>
        <w:rPr>
          <w:u w:val="double"/>
        </w:rPr>
      </w:pPr>
      <w:r>
        <w:rPr>
          <w:u w:val="double"/>
        </w:rPr>
        <w:t>63235481.05</w:t>
      </w:r>
    </w:p>
    <w:p>
      <w:pPr>
        <w:pStyle w:val="Normal"/>
        <w:bidi w:val="0"/>
        <w:jc w:val="start"/>
        <w:rPr>
          <w:u w:val="double"/>
        </w:rPr>
      </w:pPr>
      <w:r>
        <w:rPr>
          <w:u w:val="double"/>
        </w:rPr>
      </w:r>
    </w:p>
    <w:p>
      <w:pPr>
        <w:pStyle w:val="Normal"/>
        <w:bidi w:val="0"/>
        <w:jc w:val="start"/>
        <w:rPr>
          <w:u w:val="double"/>
        </w:rPr>
      </w:pPr>
      <w:r>
        <w:rPr>
          <w:u w:val="double"/>
        </w:rPr>
        <w:t>-FOOTER 2-</w:t>
      </w:r>
    </w:p>
    <w:p>
      <w:pPr>
        <w:pStyle w:val="Normal"/>
        <w:bidi w:val="0"/>
        <w:jc w:val="start"/>
        <w:rPr>
          <w:u w:val="double"/>
        </w:rPr>
      </w:pPr>
      <w:r>
        <w:rPr>
          <w:u w:val="double"/>
        </w:rPr>
        <w:t>1</w:t>
      </w:r>
    </w:p>
    <w:p>
      <w:pPr>
        <w:pStyle w:val="Normal"/>
        <w:bidi w:val="0"/>
        <w:jc w:val="start"/>
        <w:rPr>
          <w:u w:val="double"/>
        </w:rPr>
      </w:pPr>
      <w:r>
        <w:rPr>
          <w:u w:val="double"/>
        </w:rPr>
        <w:t>63235481.05</w:t>
      </w:r>
    </w:p>
    <w:p>
      <w:pPr>
        <w:pStyle w:val="Normal"/>
        <w:bidi w:val="0"/>
        <w:jc w:val="start"/>
        <w:rPr>
          <w:u w:val="double"/>
        </w:rPr>
      </w:pPr>
      <w:r>
        <w:rPr>
          <w:u w:val="double"/>
        </w:rPr>
      </w:r>
    </w:p>
    <w:p>
      <w:pPr>
        <w:pStyle w:val="Normal"/>
        <w:bidi w:val="0"/>
        <w:jc w:val="start"/>
        <w:rPr>
          <w:u w:val="double"/>
        </w:rPr>
      </w:pPr>
      <w:r>
        <w:rPr>
          <w:u w:val="double"/>
        </w:rPr>
        <w:t>-FOOTER 3-</w:t>
      </w:r>
    </w:p>
    <w:p>
      <w:pPr>
        <w:pStyle w:val="Normal"/>
        <w:bidi w:val="0"/>
        <w:jc w:val="start"/>
        <w:rPr/>
      </w:pPr>
      <w:r>
        <w:rPr>
          <w:u w:val="double"/>
        </w:rPr>
        <w:t>63235481.02</w:t>
      </w:r>
    </w:p>
    <w:p>
      <w:pPr>
        <w:pStyle w:val="Normal"/>
        <w:bidi w:val="0"/>
        <w:jc w:val="start"/>
        <w:rPr/>
      </w:pPr>
      <w:r>
        <w:rPr/>
        <w:t>W</w:t>
      </w:r>
    </w:p>
    <w:p>
      <w:pPr>
        <w:pStyle w:val="Normal"/>
        <w:bidi w:val="0"/>
        <w:jc w:val="start"/>
        <w:rPr/>
      </w:pPr>
      <w:r>
        <w:rPr/>
      </w:r>
    </w:p>
    <w:p>
      <w:pPr>
        <w:pStyle w:val="Normal"/>
        <w:bidi w:val="0"/>
        <w:jc w:val="start"/>
        <w:rPr/>
      </w:pPr>
      <w:r>
        <w:rPr/>
        <w:t>-FOOTER 4-</w:t>
      </w:r>
    </w:p>
    <w:p>
      <w:pPr>
        <w:pStyle w:val="Normal"/>
        <w:bidi w:val="0"/>
        <w:jc w:val="start"/>
        <w:rPr/>
      </w:pPr>
      <w:r>
        <w:rPr>
          <w:strike/>
        </w:rPr>
        <w:t>43</w:t>
      </w:r>
      <w:r>
        <w:rPr/>
        <w:t xml:space="preserve"> </w:t>
      </w:r>
      <w:r>
        <w:rPr>
          <w:u w:val="double"/>
        </w:rPr>
        <w:t>44</w:t>
      </w:r>
    </w:p>
    <w:p>
      <w:pPr>
        <w:pStyle w:val="Normal"/>
        <w:bidi w:val="0"/>
        <w:jc w:val="start"/>
        <w:rPr/>
      </w:pPr>
      <w:r>
        <w:rPr>
          <w:strike/>
        </w:rPr>
        <w:t>63235481.01</w:t>
      </w:r>
      <w:r>
        <w:rPr/>
        <w:t xml:space="preserve"> </w:t>
      </w:r>
      <w:r>
        <w:rPr>
          <w:u w:val="double"/>
        </w:rPr>
        <w:t>63235481.02</w:t>
      </w:r>
    </w:p>
    <w:p>
      <w:pPr>
        <w:pStyle w:val="Normal"/>
        <w:bidi w:val="0"/>
        <w:jc w:val="start"/>
        <w:rPr/>
      </w:pPr>
      <w:r>
        <w:rPr/>
      </w:r>
    </w:p>
    <w:p>
      <w:pPr>
        <w:pStyle w:val="Normal"/>
        <w:bidi w:val="0"/>
        <w:jc w:val="start"/>
        <w:rPr/>
      </w:pPr>
      <w:r>
        <w:rPr/>
        <w:t>-FOOTER 5-</w:t>
      </w:r>
    </w:p>
    <w:p>
      <w:pPr>
        <w:pStyle w:val="Normal"/>
        <w:bidi w:val="0"/>
        <w:jc w:val="start"/>
        <w:rPr/>
      </w:pPr>
      <w:r>
        <w:rPr>
          <w:strike/>
        </w:rPr>
        <w:t>63235481.01</w:t>
      </w:r>
      <w:r>
        <w:rPr/>
        <w:t xml:space="preserve"> </w:t>
      </w:r>
      <w:r>
        <w:rPr>
          <w:u w:val="double"/>
        </w:rPr>
        <w:t>63235481.02</w:t>
      </w:r>
    </w:p>
    <w:p>
      <w:pPr>
        <w:pStyle w:val="Normal"/>
        <w:bidi w:val="0"/>
        <w:jc w:val="start"/>
        <w:rPr/>
      </w:pPr>
      <w:r>
        <w:rPr/>
        <w:t>T</w:t>
      </w:r>
    </w:p>
    <w:p>
      <w:pPr>
        <w:pStyle w:val="Normal"/>
        <w:bidi w:val="0"/>
        <w:jc w:val="start"/>
        <w:rPr/>
      </w:pPr>
      <w:r>
        <w:rPr/>
      </w:r>
    </w:p>
    <w:p>
      <w:pPr>
        <w:pStyle w:val="Normal"/>
        <w:bidi w:val="0"/>
        <w:jc w:val="start"/>
        <w:rPr/>
      </w:pPr>
      <w:r>
        <w:rPr/>
        <w:t>-FOOTER 6-</w:t>
      </w:r>
    </w:p>
    <w:p>
      <w:pPr>
        <w:pStyle w:val="Normal"/>
        <w:bidi w:val="0"/>
        <w:jc w:val="start"/>
        <w:rPr/>
      </w:pPr>
      <w:r>
        <w:rPr>
          <w:strike/>
        </w:rPr>
        <w:t>63235481.01</w:t>
      </w:r>
      <w:r>
        <w:rPr/>
        <w:t xml:space="preserve"> </w:t>
      </w:r>
      <w:r>
        <w:rPr>
          <w:u w:val="double"/>
        </w:rPr>
        <w:t>63235481.02</w:t>
      </w:r>
    </w:p>
    <w:p>
      <w:pPr>
        <w:pStyle w:val="Normal"/>
        <w:bidi w:val="0"/>
        <w:jc w:val="start"/>
        <w:rPr/>
      </w:pPr>
      <w:r>
        <w:rPr/>
        <w:t>I</w:t>
      </w:r>
    </w:p>
    <w:p>
      <w:pPr>
        <w:pStyle w:val="Normal"/>
        <w:bidi w:val="0"/>
        <w:jc w:val="start"/>
        <w:rPr/>
      </w:pPr>
      <w:r>
        <w:rPr/>
      </w:r>
    </w:p>
    <w:p>
      <w:pPr>
        <w:pStyle w:val="Normal"/>
        <w:bidi w:val="0"/>
        <w:jc w:val="start"/>
        <w:rPr/>
      </w:pPr>
      <w:r>
        <w:rPr/>
        <w:t>-FOOTER 7-</w:t>
      </w:r>
    </w:p>
    <w:p>
      <w:pPr>
        <w:pStyle w:val="Normal"/>
        <w:bidi w:val="0"/>
        <w:jc w:val="start"/>
        <w:rPr/>
      </w:pPr>
      <w:r>
        <w:rPr>
          <w:strike/>
        </w:rPr>
        <w:t>63235481.01</w:t>
      </w:r>
      <w:r>
        <w:rPr/>
        <w:t xml:space="preserve"> </w:t>
      </w:r>
      <w:r>
        <w:rPr>
          <w:u w:val="double"/>
        </w:rPr>
        <w:t>63235481.02</w:t>
      </w:r>
    </w:p>
    <w:p>
      <w:pPr>
        <w:pStyle w:val="Normal"/>
        <w:bidi w:val="0"/>
        <w:jc w:val="start"/>
        <w:rPr/>
      </w:pPr>
      <w:r>
        <w:rPr/>
        <w:t>E</w:t>
      </w:r>
    </w:p>
    <w:p>
      <w:pPr>
        <w:pStyle w:val="Normal"/>
        <w:bidi w:val="0"/>
        <w:jc w:val="start"/>
        <w:rPr/>
      </w:pPr>
      <w:r>
        <w:rPr/>
      </w:r>
    </w:p>
    <w:p>
      <w:pPr>
        <w:pStyle w:val="Normal"/>
        <w:bidi w:val="0"/>
        <w:jc w:val="start"/>
        <w:rPr/>
      </w:pPr>
      <w:r>
        <w:rPr/>
        <w:t>-FOOTER 8-</w:t>
      </w:r>
    </w:p>
    <w:p>
      <w:pPr>
        <w:pStyle w:val="Normal"/>
        <w:bidi w:val="0"/>
        <w:jc w:val="start"/>
        <w:rPr/>
      </w:pPr>
      <w:r>
        <w:rPr>
          <w:strike/>
        </w:rPr>
        <w:t>63235481.01</w:t>
      </w:r>
      <w:r>
        <w:rPr/>
        <w:t xml:space="preserve"> </w:t>
      </w:r>
      <w:r>
        <w:rPr>
          <w:u w:val="double"/>
        </w:rPr>
        <w:t>63235481.02</w:t>
      </w:r>
    </w:p>
    <w:p>
      <w:pPr>
        <w:pStyle w:val="Normal"/>
        <w:bidi w:val="0"/>
        <w:jc w:val="start"/>
        <w:rPr/>
      </w:pPr>
      <w:r>
        <w:rPr/>
        <w:t>E</w:t>
      </w:r>
    </w:p>
    <w:p>
      <w:pPr>
        <w:pStyle w:val="Normal"/>
        <w:bidi w:val="0"/>
        <w:jc w:val="start"/>
        <w:rPr/>
      </w:pPr>
      <w:r>
        <w:rPr/>
      </w:r>
    </w:p>
    <w:p>
      <w:pPr>
        <w:pStyle w:val="Normal"/>
        <w:bidi w:val="0"/>
        <w:jc w:val="start"/>
        <w:rPr/>
      </w:pPr>
      <w:r>
        <w:rPr/>
        <w:t>-FOOTER 9-</w:t>
      </w:r>
    </w:p>
    <w:p>
      <w:pPr>
        <w:pStyle w:val="Normal"/>
        <w:bidi w:val="0"/>
        <w:jc w:val="start"/>
        <w:rPr/>
      </w:pPr>
      <w:r>
        <w:rPr>
          <w:strike/>
        </w:rPr>
        <w:t>43</w:t>
      </w:r>
      <w:r>
        <w:rPr/>
        <w:t xml:space="preserve"> </w:t>
      </w:r>
      <w:r>
        <w:rPr>
          <w:u w:val="double"/>
        </w:rPr>
        <w:t>1</w:t>
      </w:r>
    </w:p>
    <w:p>
      <w:pPr>
        <w:pStyle w:val="Normal"/>
        <w:bidi w:val="0"/>
        <w:jc w:val="start"/>
        <w:rPr/>
      </w:pPr>
      <w:r>
        <w:rPr>
          <w:strike/>
        </w:rPr>
        <w:t>63235481.03</w:t>
      </w:r>
      <w:r>
        <w:rPr/>
        <w:t xml:space="preserve"> </w:t>
      </w:r>
      <w:r>
        <w:rPr>
          <w:u w:val="double"/>
        </w:rPr>
        <w:t>63235481.05</w:t>
      </w:r>
    </w:p>
    <w:p>
      <w:pPr>
        <w:pStyle w:val="Normal"/>
        <w:bidi w:val="0"/>
        <w:jc w:val="start"/>
        <w:rPr/>
      </w:pPr>
      <w:r>
        <w:rPr/>
      </w:r>
    </w:p>
    <w:p>
      <w:pPr>
        <w:pStyle w:val="Normal"/>
        <w:bidi w:val="0"/>
        <w:jc w:val="start"/>
        <w:rPr/>
      </w:pPr>
      <w:r>
        <w:rPr/>
        <w:t>-FOOTER 10-</w:t>
      </w:r>
    </w:p>
    <w:p>
      <w:pPr>
        <w:pStyle w:val="Normal"/>
        <w:bidi w:val="0"/>
        <w:jc w:val="start"/>
        <w:rPr/>
      </w:pPr>
      <w:r>
        <w:rPr>
          <w:strike/>
        </w:rPr>
        <w:t>63235481.01</w:t>
      </w:r>
      <w:r>
        <w:rPr/>
        <w:t xml:space="preserve"> </w:t>
      </w:r>
      <w:r>
        <w:rPr>
          <w:u w:val="double"/>
        </w:rPr>
        <w:t>63235481.02</w:t>
      </w:r>
    </w:p>
    <w:p>
      <w:pPr>
        <w:pStyle w:val="Normal"/>
        <w:bidi w:val="0"/>
        <w:jc w:val="start"/>
        <w:rPr/>
      </w:pPr>
      <w:r>
        <w:rPr/>
        <w:t>E</w:t>
      </w:r>
    </w:p>
    <w:p>
      <w:pPr>
        <w:pStyle w:val="Normal"/>
        <w:bidi w:val="0"/>
        <w:jc w:val="start"/>
        <w:rPr/>
      </w:pPr>
      <w:r>
        <w:rPr/>
      </w:r>
    </w:p>
    <w:p>
      <w:pPr>
        <w:pStyle w:val="Normal"/>
        <w:bidi w:val="0"/>
        <w:jc w:val="start"/>
        <w:rPr/>
      </w:pPr>
      <w:r>
        <w:rPr/>
        <w:t>-FOOTER 11-</w:t>
      </w:r>
    </w:p>
    <w:p>
      <w:pPr>
        <w:pStyle w:val="Normal"/>
        <w:bidi w:val="0"/>
        <w:jc w:val="start"/>
        <w:rPr/>
      </w:pPr>
      <w:r>
        <w:rPr>
          <w:strike/>
        </w:rPr>
        <w:t>63235481.01</w:t>
      </w:r>
      <w:r>
        <w:rPr/>
        <w:t xml:space="preserve"> </w:t>
      </w:r>
      <w:r>
        <w:rPr>
          <w:u w:val="double"/>
        </w:rPr>
        <w:t>63235481.02</w:t>
      </w:r>
    </w:p>
    <w:p>
      <w:pPr>
        <w:pStyle w:val="Normal"/>
        <w:bidi w:val="0"/>
        <w:jc w:val="start"/>
        <w:rPr/>
      </w:pPr>
      <w:r>
        <w:rPr/>
        <w:t>E</w:t>
      </w:r>
    </w:p>
    <w:p>
      <w:pPr>
        <w:pStyle w:val="Normal"/>
        <w:bidi w:val="0"/>
        <w:jc w:val="start"/>
        <w:rPr/>
      </w:pPr>
      <w:r>
        <w:rPr/>
      </w:r>
    </w:p>
    <w:p>
      <w:pPr>
        <w:pStyle w:val="Normal"/>
        <w:bidi w:val="0"/>
        <w:jc w:val="start"/>
        <w:rPr/>
      </w:pPr>
      <w:r>
        <w:rPr/>
        <w:t>-FOOTER 12-</w:t>
      </w:r>
    </w:p>
    <w:p>
      <w:pPr>
        <w:pStyle w:val="Normal"/>
        <w:bidi w:val="0"/>
        <w:jc w:val="start"/>
        <w:rPr/>
      </w:pPr>
      <w:r>
        <w:rPr>
          <w:strike/>
        </w:rPr>
        <w:t>43</w:t>
      </w:r>
      <w:r>
        <w:rPr/>
        <w:t xml:space="preserve"> </w:t>
      </w:r>
      <w:r>
        <w:rPr>
          <w:u w:val="double"/>
        </w:rPr>
        <w:t>1</w:t>
      </w:r>
    </w:p>
    <w:p>
      <w:pPr>
        <w:pStyle w:val="Normal"/>
        <w:bidi w:val="0"/>
        <w:jc w:val="start"/>
        <w:rPr/>
      </w:pPr>
      <w:r>
        <w:rPr>
          <w:strike/>
        </w:rPr>
        <w:t>63235481.03</w:t>
      </w:r>
      <w:r>
        <w:rPr/>
        <w:t xml:space="preserve"> </w:t>
      </w:r>
      <w:r>
        <w:rPr>
          <w:u w:val="double"/>
        </w:rPr>
        <w:t>63235481.05</w:t>
      </w:r>
    </w:p>
    <w:p>
      <w:pPr>
        <w:pStyle w:val="Normal"/>
        <w:bidi w:val="0"/>
        <w:jc w:val="start"/>
        <w:rPr/>
      </w:pPr>
      <w:r>
        <w:rPr/>
      </w:r>
    </w:p>
    <w:p>
      <w:pPr>
        <w:pStyle w:val="Normal"/>
        <w:bidi w:val="0"/>
        <w:jc w:val="start"/>
        <w:rPr/>
      </w:pPr>
      <w:r>
        <w:rPr/>
        <w:t>-FOOTER 13-</w:t>
      </w:r>
    </w:p>
    <w:p>
      <w:pPr>
        <w:pStyle w:val="Normal"/>
        <w:bidi w:val="0"/>
        <w:jc w:val="start"/>
        <w:rPr/>
      </w:pPr>
      <w:r>
        <w:rPr>
          <w:strike/>
        </w:rPr>
        <w:t>63235481.01</w:t>
      </w:r>
      <w:r>
        <w:rPr/>
        <w:t xml:space="preserve"> </w:t>
      </w:r>
      <w:r>
        <w:rPr>
          <w:u w:val="double"/>
        </w:rPr>
        <w:t>63235481.02</w:t>
      </w:r>
    </w:p>
    <w:p>
      <w:pPr>
        <w:pStyle w:val="Normal"/>
        <w:bidi w:val="0"/>
        <w:jc w:val="start"/>
        <w:rPr/>
      </w:pPr>
      <w:r>
        <w:rPr/>
        <w:t>E</w:t>
      </w:r>
    </w:p>
    <w:p>
      <w:pPr>
        <w:pStyle w:val="Normal"/>
        <w:bidi w:val="0"/>
        <w:jc w:val="start"/>
        <w:rPr/>
      </w:pPr>
      <w:r>
        <w:rPr/>
      </w:r>
    </w:p>
    <w:p>
      <w:pPr>
        <w:pStyle w:val="Normal"/>
        <w:bidi w:val="0"/>
        <w:jc w:val="start"/>
        <w:rPr/>
      </w:pPr>
      <w:r>
        <w:rPr/>
        <w:t>-FOOTER 14-</w:t>
      </w:r>
    </w:p>
    <w:p>
      <w:pPr>
        <w:pStyle w:val="Normal"/>
        <w:bidi w:val="0"/>
        <w:jc w:val="start"/>
        <w:rPr/>
      </w:pPr>
      <w:r>
        <w:rPr/>
        <w:t>iii</w:t>
      </w:r>
    </w:p>
    <w:p>
      <w:pPr>
        <w:pStyle w:val="Normal"/>
        <w:bidi w:val="0"/>
        <w:jc w:val="start"/>
        <w:rPr/>
      </w:pPr>
      <w:r>
        <w:rPr>
          <w:strike/>
        </w:rPr>
        <w:t>63235481.01</w:t>
      </w:r>
      <w:r>
        <w:rPr/>
        <w:t xml:space="preserve"> </w:t>
      </w:r>
      <w:r>
        <w:rPr>
          <w:u w:val="double"/>
        </w:rPr>
        <w:t>63235481.02</w:t>
      </w:r>
    </w:p>
    <w:p>
      <w:pPr>
        <w:pStyle w:val="Normal"/>
        <w:bidi w:val="0"/>
        <w:jc w:val="start"/>
        <w:rPr/>
      </w:pPr>
      <w:r>
        <w:rPr/>
      </w:r>
    </w:p>
    <w:p>
      <w:pPr>
        <w:pStyle w:val="Normal"/>
        <w:bidi w:val="0"/>
        <w:jc w:val="start"/>
        <w:rPr/>
      </w:pPr>
      <w:r>
        <w:rPr/>
        <w:t>-FOOTER 15-</w:t>
      </w:r>
    </w:p>
    <w:p>
      <w:pPr>
        <w:pStyle w:val="Normal"/>
        <w:bidi w:val="0"/>
        <w:jc w:val="start"/>
        <w:rPr/>
      </w:pPr>
      <w:r>
        <w:rPr>
          <w:strike/>
        </w:rPr>
        <w:t>63235481.01</w:t>
      </w:r>
      <w:r>
        <w:rPr/>
        <w:t xml:space="preserve"> </w:t>
      </w:r>
      <w:r>
        <w:rPr>
          <w:u w:val="double"/>
        </w:rPr>
        <w:t>63235481.02</w:t>
      </w:r>
    </w:p>
    <w:p>
      <w:pPr>
        <w:pStyle w:val="Normal"/>
        <w:bidi w:val="0"/>
        <w:jc w:val="start"/>
        <w:rPr/>
      </w:pPr>
      <w:r>
        <w:rPr/>
        <w:t>T</w:t>
      </w:r>
    </w:p>
    <w:sectPr>
      <w:footerReference w:type="even" r:id="rId28"/>
      <w:footerReference w:type="default" r:id="rId29"/>
      <w:footerReference w:type="first" r:id="rId30"/>
      <w:type w:val="nextPage"/>
      <w:pgSz w:w="12240" w:h="15840"/>
      <w:pgMar w:left="1440" w:right="1440" w:gutter="0" w:header="0" w:top="1440" w:footer="432" w:bottom="1440"/>
      <w:pgNumType w:start="1" w:fmt="lowerRoman"/>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TimesNew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63235481.02</w:t>
    </w:r>
  </w:p>
  <w:p>
    <w:pPr>
      <w:pStyle w:val="Normal"/>
      <w:bidi w:val="0"/>
      <w:jc w:val="start"/>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63235481.02</w:t>
    </w:r>
  </w:p>
  <w:p>
    <w:pPr>
      <w:pStyle w:val="Normal"/>
      <w:bidi w:val="0"/>
      <w:jc w:val="start"/>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63235481.02</w:t>
    </w:r>
  </w:p>
  <w:p>
    <w:pPr>
      <w:pStyle w:val="Normal"/>
      <w:bidi w:val="0"/>
      <w:jc w:val="start"/>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widowControl/>
      <w:bidi w:val="0"/>
      <w:jc w:val="start"/>
      <w:rPr/>
    </w:pPr>
    <w:r>
      <w:rPr/>
      <w:t>63235481.05 v. 63235481.03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63235481.05 v. 63235481.03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widowControl/>
      <w:bidi w:val="0"/>
      <w:jc w:val="start"/>
      <w:rPr/>
    </w:pPr>
    <w:r>
      <w:rPr/>
      <w:t>63235481.05 v. 63235481.03</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widowControl/>
      <w:bidi w:val="0"/>
      <w:jc w:val="start"/>
      <w:rPr/>
    </w:pPr>
    <w:r>
      <w:rPr/>
      <w:t>63235481.05 v. 63235481.03</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fldChar w:fldCharType="begin"/>
    </w:r>
    <w:r>
      <w:rPr/>
      <w:instrText xml:space="preserve"> PAGE </w:instrText>
    </w:r>
    <w:r>
      <w:rPr/>
      <w:fldChar w:fldCharType="separate"/>
    </w:r>
    <w:r>
      <w:rPr/>
      <w:t>v</w:t>
    </w:r>
    <w:r>
      <w:rPr/>
      <w:fldChar w:fldCharType="end"/>
    </w:r>
  </w:p>
  <w:p>
    <w:pPr>
      <w:pStyle w:val="DocID"/>
      <w:widowControl/>
      <w:bidi w:val="0"/>
      <w:jc w:val="start"/>
      <w:rPr/>
    </w:pPr>
    <w:r>
      <w:rPr/>
      <w:t>63235481.02</w:t>
    </w:r>
  </w:p>
  <w:p>
    <w:pPr>
      <w:pStyle w:val="Normal"/>
      <w:bidi w:val="0"/>
      <w:jc w:val="start"/>
      <w:rPr>
        <w:sz w:val="16"/>
      </w:rPr>
    </w:pPr>
    <w:r>
      <w:rPr>
        <w:sz w:val="16"/>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63235481.05 v. 63235481.03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44</w:t>
    </w:r>
    <w:r>
      <w:rPr>
        <w:sz w:val="20"/>
        <w:lang w:val="en-CA"/>
      </w:rPr>
      <w:fldChar w:fldCharType="end"/>
    </w:r>
  </w:p>
  <w:p>
    <w:pPr>
      <w:pStyle w:val="DocID"/>
      <w:widowControl/>
      <w:bidi w:val="0"/>
      <w:jc w:val="start"/>
      <w:rPr/>
    </w:pPr>
    <w:r>
      <w:rPr/>
      <w:t>63235481.02</w:t>
    </w:r>
  </w:p>
  <w:p>
    <w:pPr>
      <w:pStyle w:val="Normal"/>
      <w:bidi w:val="0"/>
      <w:jc w:val="start"/>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widowControl/>
      <w:bidi w:val="0"/>
      <w:jc w:val="start"/>
      <w:rPr/>
    </w:pPr>
    <w:r>
      <w:rPr/>
      <w:t>63235481.02</w:t>
    </w:r>
  </w:p>
  <w:p>
    <w:pPr>
      <w:pStyle w:val="Normal"/>
      <w:bidi w:val="0"/>
      <w:jc w:val="start"/>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next w:val="Normal"/>
    <w:qFormat/>
    <w:pPr>
      <w:keepNext w:val="true"/>
      <w:keepLines/>
      <w:widowControl w:val="false"/>
      <w:spacing w:before="240" w:after="240"/>
      <w:jc w:val="center"/>
    </w:pPr>
    <w:rPr>
      <w:color w:val="0000FF"/>
      <w:u w:val="single"/>
    </w:rPr>
  </w:style>
  <w:style w:type="paragraph" w:styleId="Heading2">
    <w:name w:val="heading 2"/>
    <w:basedOn w:val="Normal"/>
    <w:next w:val="Normal"/>
    <w:qFormat/>
    <w:pPr>
      <w:widowControl w:val="false"/>
      <w:tabs>
        <w:tab w:val="clear" w:pos="720"/>
        <w:tab w:val="left" w:pos="2520" w:leader="none"/>
      </w:tabs>
      <w:spacing w:before="0" w:after="240"/>
      <w:ind w:firstLine="720"/>
    </w:pPr>
    <w:rPr>
      <w:u w:val="single"/>
    </w:rPr>
  </w:style>
  <w:style w:type="paragraph" w:styleId="Heading3">
    <w:name w:val="heading 3"/>
    <w:basedOn w:val="Normal"/>
    <w:next w:val="Normal"/>
    <w:qFormat/>
    <w:pPr>
      <w:widowControl w:val="false"/>
      <w:tabs>
        <w:tab w:val="clear" w:pos="720"/>
        <w:tab w:val="left" w:pos="1440" w:leader="none"/>
      </w:tabs>
      <w:spacing w:before="0" w:after="240"/>
      <w:ind w:firstLine="720"/>
    </w:pPr>
    <w:rPr/>
  </w:style>
  <w:style w:type="paragraph" w:styleId="Heading4">
    <w:name w:val="heading 4"/>
    <w:basedOn w:val="Normal"/>
    <w:next w:val="Normal"/>
    <w:qFormat/>
    <w:pPr>
      <w:widowControl w:val="false"/>
      <w:tabs>
        <w:tab w:val="clear" w:pos="720"/>
        <w:tab w:val="left" w:pos="2160" w:leader="none"/>
      </w:tabs>
      <w:spacing w:before="0" w:after="240"/>
      <w:ind w:firstLine="720" w:start="720"/>
    </w:pPr>
    <w:rPr/>
  </w:style>
  <w:style w:type="paragraph" w:styleId="Heading5">
    <w:name w:val="heading 5"/>
    <w:basedOn w:val="Normal"/>
    <w:next w:val="Normal"/>
    <w:qFormat/>
    <w:pPr>
      <w:widowControl w:val="false"/>
      <w:tabs>
        <w:tab w:val="clear" w:pos="720"/>
        <w:tab w:val="left" w:pos="3240" w:leader="none"/>
      </w:tabs>
      <w:spacing w:before="0" w:after="240"/>
      <w:ind w:hanging="0" w:start="2880"/>
      <w:jc w:val="both"/>
    </w:pPr>
    <w:rPr/>
  </w:style>
  <w:style w:type="paragraph" w:styleId="Heading6">
    <w:name w:val="heading 6"/>
    <w:basedOn w:val="Normal"/>
    <w:next w:val="Normal"/>
    <w:qFormat/>
    <w:pPr>
      <w:widowControl w:val="false"/>
      <w:tabs>
        <w:tab w:val="clear" w:pos="720"/>
        <w:tab w:val="left" w:pos="3960" w:leader="none"/>
      </w:tabs>
      <w:spacing w:before="0" w:after="240"/>
      <w:ind w:hanging="0" w:start="3600"/>
      <w:jc w:val="both"/>
    </w:pPr>
    <w:rPr/>
  </w:style>
  <w:style w:type="paragraph" w:styleId="Heading7">
    <w:name w:val="heading 7"/>
    <w:basedOn w:val="Normal"/>
    <w:next w:val="Normal"/>
    <w:qFormat/>
    <w:pPr>
      <w:widowControl w:val="false"/>
      <w:tabs>
        <w:tab w:val="clear" w:pos="720"/>
        <w:tab w:val="left" w:pos="4680" w:leader="none"/>
      </w:tabs>
      <w:ind w:hanging="0" w:start="4320"/>
    </w:pPr>
    <w:rPr/>
  </w:style>
  <w:style w:type="paragraph" w:styleId="Heading8">
    <w:name w:val="heading 8"/>
    <w:basedOn w:val="Normal"/>
    <w:next w:val="Normal"/>
    <w:qFormat/>
    <w:pPr>
      <w:widowControl w:val="false"/>
      <w:tabs>
        <w:tab w:val="clear" w:pos="720"/>
        <w:tab w:val="left" w:pos="5400" w:leader="none"/>
      </w:tabs>
      <w:ind w:hanging="0" w:start="5040"/>
    </w:pPr>
    <w:rPr/>
  </w:style>
  <w:style w:type="paragraph" w:styleId="Heading9">
    <w:name w:val="heading 9"/>
    <w:basedOn w:val="Normal"/>
    <w:next w:val="Normal"/>
    <w:qFormat/>
    <w:pPr>
      <w:widowControl w:val="false"/>
      <w:tabs>
        <w:tab w:val="clear" w:pos="720"/>
        <w:tab w:val="left" w:pos="6120" w:leader="none"/>
      </w:tabs>
      <w:ind w:hanging="0" w:start="5760"/>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qFormat/>
    <w:rPr>
      <w:sz w:val="16"/>
    </w:rPr>
  </w:style>
  <w:style w:type="character" w:styleId="PageNumber">
    <w:name w:val="page number"/>
    <w:basedOn w:val="DefaultParagraphFont"/>
    <w:rPr/>
  </w:style>
  <w:style w:type="character" w:styleId="ParaNum">
    <w:name w:val="ParaNum"/>
    <w:qFormat/>
    <w:rPr>
      <w:rFonts w:ascii="Arial" w:hAnsi="Arial"/>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ind w:firstLine="1440"/>
    </w:pPr>
    <w:rPr/>
  </w:style>
  <w:style w:type="paragraph" w:styleId="ListNumber">
    <w:name w:val="List Number"/>
    <w:basedOn w:val="Normal"/>
    <w:pPr>
      <w:widowControl w:val="false"/>
      <w:tabs>
        <w:tab w:val="clear" w:pos="720"/>
        <w:tab w:val="left" w:pos="360" w:leader="none"/>
      </w:tabs>
      <w:ind w:hanging="360" w:start="360"/>
    </w:pPr>
    <w:rPr/>
  </w:style>
  <w:style w:type="paragraph" w:styleId="BodyTextFirstIndent">
    <w:name w:val="Body Text First Indent"/>
    <w:basedOn w:val="BodyText"/>
    <w:pPr>
      <w:widowControl w:val="false"/>
      <w:spacing w:before="0" w:after="240"/>
      <w:ind w:firstLine="1440"/>
    </w:pPr>
    <w:rPr/>
  </w:style>
  <w:style w:type="paragraph" w:styleId="CommentText">
    <w:name w:val="annotation text"/>
    <w:basedOn w:val="Normal"/>
    <w:pPr>
      <w:widowControl w:val="false"/>
    </w:pPr>
    <w:rPr>
      <w:sz w:val="20"/>
    </w:rPr>
  </w:style>
  <w:style w:type="paragraph" w:styleId="Definitions">
    <w:name w:val="Definitions"/>
    <w:basedOn w:val="BodyTextFirstIndent"/>
    <w:next w:val="BodyText"/>
    <w:qFormat/>
    <w:pPr>
      <w:widowControl w:val="false"/>
      <w:spacing w:before="0" w:after="240"/>
      <w:ind w:firstLine="1440"/>
    </w:pPr>
    <w:rPr/>
  </w:style>
  <w:style w:type="paragraph" w:styleId="BlockText">
    <w:name w:val="Block Text"/>
    <w:basedOn w:val="Normal"/>
    <w:qFormat/>
    <w:pPr>
      <w:widowControl w:val="false"/>
      <w:spacing w:before="0" w:after="240"/>
      <w:ind w:hanging="0" w:start="720" w:end="720"/>
      <w:jc w:val="both"/>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spacing w:before="0" w:after="240"/>
      <w:ind w:hanging="288" w:start="288"/>
    </w:pPr>
    <w:rPr/>
  </w:style>
  <w:style w:type="paragraph" w:styleId="Title">
    <w:name w:val="Title"/>
    <w:basedOn w:val="Normal"/>
    <w:qFormat/>
    <w:pPr>
      <w:widowControl w:val="false"/>
      <w:spacing w:before="0" w:after="240"/>
      <w:jc w:val="center"/>
    </w:pPr>
    <w:rPr>
      <w:u w:val="single"/>
    </w:rPr>
  </w:style>
  <w:style w:type="paragraph" w:styleId="TOC1">
    <w:name w:val="toc 1"/>
    <w:basedOn w:val="Normal"/>
    <w:next w:val="Normal"/>
    <w:autoRedefine/>
    <w:pPr>
      <w:keepNext w:val="true"/>
      <w:widowControl w:val="false"/>
      <w:tabs>
        <w:tab w:val="clear" w:pos="720"/>
        <w:tab w:val="left" w:pos="1530" w:leader="none"/>
        <w:tab w:val="right" w:pos="8640" w:leader="dot"/>
      </w:tabs>
      <w:spacing w:before="240" w:after="240"/>
      <w:ind w:hanging="1530" w:start="1530" w:end="720"/>
    </w:pPr>
    <w:rPr/>
  </w:style>
  <w:style w:type="paragraph" w:styleId="TOC2">
    <w:name w:val="toc 2"/>
    <w:basedOn w:val="Normal"/>
    <w:next w:val="Normal"/>
    <w:autoRedefine/>
    <w:pPr>
      <w:widowControl w:val="false"/>
      <w:tabs>
        <w:tab w:val="clear" w:pos="720"/>
        <w:tab w:val="left" w:pos="2700" w:leader="none"/>
        <w:tab w:val="right" w:pos="8640" w:leader="dot"/>
      </w:tabs>
      <w:ind w:hanging="1980" w:start="2700" w:end="720"/>
    </w:pPr>
    <w:rPr/>
  </w:style>
  <w:style w:type="paragraph" w:styleId="TOC3">
    <w:name w:val="toc 3"/>
    <w:basedOn w:val="Normal"/>
    <w:next w:val="Normal"/>
    <w:autoRedefine/>
    <w:pPr>
      <w:widowControl w:val="false"/>
      <w:ind w:hanging="0" w:start="480"/>
    </w:pPr>
    <w:rPr/>
  </w:style>
  <w:style w:type="paragraph" w:styleId="NormalIndent">
    <w:name w:val="Normal Indent"/>
    <w:basedOn w:val="Normal"/>
    <w:qFormat/>
    <w:pPr>
      <w:widowControl w:val="false"/>
      <w:ind w:hanging="0" w:start="720"/>
    </w:pPr>
    <w:rPr/>
  </w:style>
  <w:style w:type="paragraph" w:styleId="BodyText2">
    <w:name w:val="Body Text 2"/>
    <w:basedOn w:val="Normal"/>
    <w:qFormat/>
    <w:pPr>
      <w:widowControl w:val="false"/>
      <w:tabs>
        <w:tab w:val="clear" w:pos="720"/>
        <w:tab w:val="left" w:pos="-1440" w:leader="none"/>
        <w:tab w:val="left" w:pos="-720" w:leader="none"/>
      </w:tabs>
      <w:jc w:val="both"/>
    </w:pPr>
    <w:rPr>
      <w:kern w:val="2"/>
    </w:rPr>
  </w:style>
  <w:style w:type="paragraph" w:styleId="BodyTextFirstIndent2">
    <w:name w:val="Body Text First Indent 2"/>
    <w:basedOn w:val="BodyTextFirstIndent"/>
    <w:qFormat/>
    <w:pPr>
      <w:widowControl w:val="false"/>
      <w:spacing w:before="0" w:after="240"/>
      <w:ind w:firstLine="720" w:start="720"/>
    </w:pPr>
    <w:rPr/>
  </w:style>
  <w:style w:type="paragraph" w:styleId="BodyTextIndent2">
    <w:name w:val="Body Text Indent 2"/>
    <w:basedOn w:val="BodyText"/>
    <w:qFormat/>
    <w:pPr>
      <w:widowControl w:val="false"/>
      <w:spacing w:before="0" w:after="240"/>
      <w:ind w:hanging="0" w:start="720" w:end="720"/>
    </w:pPr>
    <w:rPr/>
  </w:style>
  <w:style w:type="paragraph" w:styleId="Date">
    <w:name w:val="Date"/>
    <w:basedOn w:val="Normal"/>
    <w:next w:val="Normal"/>
    <w:qFormat/>
    <w:pPr>
      <w:widowControl w:val="false"/>
    </w:pPr>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9360" w:leader="none"/>
      </w:tabs>
      <w:spacing w:lineRule="atLeast" w:line="240"/>
    </w:pPr>
    <w:rPr/>
  </w:style>
  <w:style w:type="paragraph" w:styleId="BodyText3">
    <w:name w:val="Body Text 3"/>
    <w:basedOn w:val="Normal"/>
    <w:qFormat/>
    <w:pPr>
      <w:widowControl w:val="false"/>
      <w:spacing w:before="0" w:after="120"/>
    </w:pPr>
    <w:rPr/>
  </w:style>
  <w:style w:type="paragraph" w:styleId="BodyTextIndent3">
    <w:name w:val="Body Text Indent 3"/>
    <w:basedOn w:val="BodyText"/>
    <w:qFormat/>
    <w:pPr>
      <w:widowControl w:val="false"/>
      <w:spacing w:before="0" w:after="240"/>
      <w:ind w:hanging="0" w:start="1440" w:end="720"/>
    </w:pPr>
    <w:rPr/>
  </w:style>
  <w:style w:type="paragraph" w:styleId="Index1">
    <w:name w:val="index 1"/>
    <w:basedOn w:val="Normal"/>
    <w:next w:val="Normal"/>
    <w:autoRedefine/>
    <w:pPr>
      <w:widowControl w:val="false"/>
      <w:ind w:hanging="240" w:start="240"/>
    </w:pPr>
    <w:rPr/>
  </w:style>
  <w:style w:type="paragraph" w:styleId="ListBullet">
    <w:name w:val="List Bullet"/>
    <w:basedOn w:val="Normal"/>
    <w:autoRedefine/>
    <w:pPr>
      <w:widowControl w:val="false"/>
      <w:tabs>
        <w:tab w:val="clear" w:pos="720"/>
        <w:tab w:val="left" w:pos="360" w:leader="none"/>
      </w:tabs>
      <w:ind w:hanging="360" w:start="360"/>
    </w:pPr>
    <w:rPr/>
  </w:style>
  <w:style w:type="paragraph" w:styleId="ListBullet2">
    <w:name w:val="List Bullet 2"/>
    <w:basedOn w:val="Normal"/>
    <w:autoRedefine/>
    <w:pPr>
      <w:widowControl w:val="false"/>
      <w:tabs>
        <w:tab w:val="left" w:pos="720" w:leader="none"/>
      </w:tabs>
      <w:ind w:hanging="360" w:start="720"/>
    </w:pPr>
    <w:rPr/>
  </w:style>
  <w:style w:type="paragraph" w:styleId="ListBullet3">
    <w:name w:val="List Bullet 3"/>
    <w:basedOn w:val="Normal"/>
    <w:autoRedefine/>
    <w:pPr>
      <w:widowControl w:val="false"/>
      <w:tabs>
        <w:tab w:val="clear" w:pos="720"/>
        <w:tab w:val="left" w:pos="1080" w:leader="none"/>
      </w:tabs>
      <w:ind w:hanging="360" w:start="1080"/>
    </w:pPr>
    <w:rPr/>
  </w:style>
  <w:style w:type="paragraph" w:styleId="ListBullet4">
    <w:name w:val="List Bullet 4"/>
    <w:basedOn w:val="Normal"/>
    <w:autoRedefine/>
    <w:pPr>
      <w:widowControl w:val="false"/>
      <w:tabs>
        <w:tab w:val="clear" w:pos="720"/>
        <w:tab w:val="left" w:pos="1440" w:leader="none"/>
      </w:tabs>
      <w:ind w:hanging="360" w:start="1440"/>
    </w:pPr>
    <w:rPr/>
  </w:style>
  <w:style w:type="paragraph" w:styleId="ListBullet5">
    <w:name w:val="List Bullet 5"/>
    <w:basedOn w:val="Normal"/>
    <w:autoRedefine/>
    <w:pPr>
      <w:widowControl w:val="false"/>
      <w:tabs>
        <w:tab w:val="clear" w:pos="720"/>
        <w:tab w:val="left" w:pos="1800" w:leader="none"/>
      </w:tabs>
      <w:ind w:hanging="360" w:start="1800"/>
    </w:pPr>
    <w:rPr/>
  </w:style>
  <w:style w:type="paragraph" w:styleId="Signature">
    <w:name w:val="Signature"/>
    <w:basedOn w:val="Normal"/>
    <w:pPr>
      <w:widowControl w:val="false"/>
      <w:ind w:hanging="0" w:start="4320"/>
    </w:pPr>
    <w:rPr/>
  </w:style>
  <w:style w:type="paragraph" w:styleId="Subtitle">
    <w:name w:val="Subtitle"/>
    <w:basedOn w:val="Normal"/>
    <w:qFormat/>
    <w:pPr>
      <w:widowControl w:val="false"/>
      <w:spacing w:before="0" w:after="60"/>
      <w:jc w:val="center"/>
    </w:pPr>
    <w:rPr/>
  </w:style>
  <w:style w:type="paragraph" w:styleId="toaheading">
    <w:name w:val="toa heading"/>
    <w:basedOn w:val="Normal"/>
    <w:next w:val="Normal"/>
    <w:qFormat/>
    <w:pPr>
      <w:widowControl w:val="false"/>
      <w:spacing w:before="120" w:after="0"/>
    </w:pPr>
    <w:rPr>
      <w:b/>
    </w:rPr>
  </w:style>
  <w:style w:type="paragraph" w:styleId="TOC4">
    <w:name w:val="toc 4"/>
    <w:basedOn w:val="Normal"/>
    <w:next w:val="Normal"/>
    <w:autoRedefine/>
    <w:pPr>
      <w:widowControl w:val="false"/>
      <w:ind w:hanging="0" w:start="720"/>
    </w:pPr>
    <w:rPr/>
  </w:style>
  <w:style w:type="paragraph" w:styleId="TOC5">
    <w:name w:val="toc 5"/>
    <w:basedOn w:val="Normal"/>
    <w:next w:val="Normal"/>
    <w:autoRedefine/>
    <w:pPr>
      <w:widowControl w:val="false"/>
      <w:ind w:hanging="0" w:start="960"/>
    </w:pPr>
    <w:rPr/>
  </w:style>
  <w:style w:type="paragraph" w:styleId="TOC6">
    <w:name w:val="toc 6"/>
    <w:basedOn w:val="Normal"/>
    <w:next w:val="Normal"/>
    <w:autoRedefine/>
    <w:pPr>
      <w:widowControl w:val="false"/>
      <w:ind w:hanging="0" w:start="1200"/>
    </w:pPr>
    <w:rPr/>
  </w:style>
  <w:style w:type="paragraph" w:styleId="TOC7">
    <w:name w:val="toc 7"/>
    <w:basedOn w:val="Normal"/>
    <w:next w:val="Normal"/>
    <w:autoRedefine/>
    <w:pPr>
      <w:widowControl w:val="false"/>
      <w:ind w:hanging="0" w:start="1440"/>
    </w:pPr>
    <w:rPr/>
  </w:style>
  <w:style w:type="paragraph" w:styleId="TOC8">
    <w:name w:val="toc 8"/>
    <w:basedOn w:val="Normal"/>
    <w:next w:val="Normal"/>
    <w:autoRedefine/>
    <w:pPr>
      <w:widowControl w:val="false"/>
      <w:ind w:hanging="0" w:start="1680"/>
    </w:pPr>
    <w:rPr/>
  </w:style>
  <w:style w:type="paragraph" w:styleId="TOC9">
    <w:name w:val="toc 9"/>
    <w:basedOn w:val="Normal"/>
    <w:next w:val="Normal"/>
    <w:autoRedefine/>
    <w:pPr>
      <w:widowControl w:val="false"/>
      <w:ind w:hanging="0" w:start="1920"/>
    </w:pPr>
    <w:rPr/>
  </w:style>
  <w:style w:type="paragraph" w:styleId="Header">
    <w:name w:val="header"/>
    <w:basedOn w:val="Normal"/>
    <w:pPr>
      <w:widowControl w:val="false"/>
      <w:tabs>
        <w:tab w:val="clear" w:pos="720"/>
        <w:tab w:val="center" w:pos="4320" w:leader="none"/>
        <w:tab w:val="right" w:pos="8640" w:leader="none"/>
      </w:tabs>
    </w:pPr>
    <w:rPr/>
  </w:style>
  <w:style w:type="paragraph" w:styleId="Style11">
    <w:name w:val="Style1"/>
    <w:basedOn w:val="BodyText"/>
    <w:qFormat/>
    <w:pPr>
      <w:widowControl w:val="false"/>
      <w:tabs>
        <w:tab w:val="clear" w:pos="720"/>
        <w:tab w:val="left" w:pos="360" w:leader="none"/>
      </w:tabs>
      <w:spacing w:before="0" w:after="240"/>
      <w:ind w:hanging="360" w:start="360"/>
    </w:pPr>
    <w:rPr/>
  </w:style>
  <w:style w:type="paragraph" w:styleId="DocumentMap">
    <w:name w:val="Document Map"/>
    <w:basedOn w:val="Normal"/>
    <w:qFormat/>
    <w:pPr>
      <w:widowControl w:val="false"/>
      <w:shd w:fill="000080"/>
    </w:pPr>
    <w:rPr>
      <w:rFonts w:ascii="Tahoma" w:hAnsi="Tahoma"/>
    </w:rPr>
  </w:style>
  <w:style w:type="paragraph" w:styleId="HidePara">
    <w:name w:val="Hide Para."/>
    <w:basedOn w:val="Normal"/>
    <w:qFormat/>
    <w:pPr>
      <w:widowControl w:val="false"/>
      <w:jc w:val="both"/>
    </w:pPr>
    <w:rPr>
      <w:kern w:val="2"/>
    </w:rPr>
  </w:style>
  <w:style w:type="paragraph" w:styleId="Address">
    <w:name w:val="Address"/>
    <w:basedOn w:val="BodyText"/>
    <w:qFormat/>
    <w:pPr>
      <w:keepLines/>
      <w:widowControl w:val="false"/>
      <w:tabs>
        <w:tab w:val="clear" w:pos="720"/>
        <w:tab w:val="left" w:pos="2880" w:leader="none"/>
        <w:tab w:val="left" w:pos="4140" w:leader="none"/>
      </w:tabs>
      <w:spacing w:before="0" w:after="240"/>
      <w:ind w:hanging="0" w:start="1440"/>
    </w:pPr>
    <w:rPr/>
  </w:style>
  <w:style w:type="paragraph" w:styleId="PlainText">
    <w:name w:val="Plain Text"/>
    <w:basedOn w:val="Normal"/>
    <w:qFormat/>
    <w:pPr>
      <w:widowControl w:val="false"/>
      <w:spacing w:before="0" w:after="240"/>
      <w:jc w:val="both"/>
    </w:pPr>
    <w:rPr/>
  </w:style>
  <w:style w:type="paragraph" w:styleId="Closing">
    <w:name w:val="Closing"/>
    <w:basedOn w:val="Normal"/>
    <w:pPr>
      <w:widowControl w:val="false"/>
      <w:ind w:hanging="0" w:start="4320"/>
    </w:pPr>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DocID">
    <w:name w:val="DocID"/>
    <w:next w:val="Normal"/>
    <w:qFormat/>
    <w:pPr>
      <w:widowControl w:val="false"/>
      <w:bidi w:val="0"/>
    </w:pPr>
    <w:rPr>
      <w:rFonts w:ascii="Times New Roman" w:hAnsi="Times New Roman" w:eastAsia="Courier New" w:cs="Symbol"/>
      <w:color w:val="auto"/>
      <w:kern w:val="2"/>
      <w:sz w:val="16"/>
      <w:szCs w:val="24"/>
      <w:lang w:val="en-CA" w:eastAsia="zh-CN" w:bidi="hi-IN"/>
    </w:rPr>
  </w:style>
  <w:style w:type="paragraph" w:styleId="Body4w">
    <w:name w:val="Body4w/#"/>
    <w:basedOn w:val="Heading4"/>
    <w:qFormat/>
    <w:pPr>
      <w:widowControl w:val="false"/>
      <w:tabs>
        <w:tab w:val="right" w:pos="2160" w:leader="none"/>
        <w:tab w:val="left" w:pos="2376" w:leader="none"/>
      </w:tabs>
      <w:spacing w:before="240" w:after="0"/>
      <w:ind w:firstLine="720" w:start="720"/>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22782</Words>
  <Characters>159478</Characters>
  <CharactersWithSpaces>118470</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2000-05-31T09:14:00Z</dcterms:created>
  <dc:creator>PIETRAJ</dc:creator>
  <dc:description/>
  <cp:keywords>63235481.RED</cp:keywords>
  <dc:language>en-CA</dc:language>
  <cp:lastModifiedBy/>
  <cp:lastPrinted>2000-05-22T04:34:00Z</cp:lastPrinted>
  <dcterms:modified xsi:type="dcterms:W3CDTF">2000-05-31T09:14:00Z</dcterms:modified>
  <cp:revision>2</cp:revision>
  <dc:subject/>
  <dc:title>THIS DOCUMENT CONTAINS CONFIDENTIAL AND PROPRIETARY INFORMATION AND IS THE PROPERTY OF WARBURG DILLON READ LLC ("WARBURG DILLON READ")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