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tabs>
          <w:tab w:val="clear" w:pos="720"/>
          <w:tab w:val="left" w:pos="3960" w:leader="none"/>
        </w:tabs>
        <w:ind w:hanging="0" w:start="0"/>
        <w:rPr/>
      </w:pPr>
      <w:r>
        <w:rPr/>
        <w:t>Trunkline Gas Company</w:t>
        <w:tab/>
        <w:t>)</w:t>
        <w:tab/>
        <w:tab/>
        <w:t>Docket No. RP00-475-000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MOTION FOR LEAVE TO INTERVENE </w:t>
      </w:r>
    </w:p>
    <w:p>
      <w:pPr>
        <w:pStyle w:val="Heading2"/>
        <w:ind w:hanging="0" w:start="0"/>
        <w:rPr/>
      </w:pPr>
      <w:r>
        <w:rPr/>
        <w:t xml:space="preserve">AND </w:t>
      </w:r>
      <w:r>
        <w:rPr>
          <w:caps/>
        </w:rPr>
        <w:t xml:space="preserve">Comments of Enron North America </w:t>
      </w:r>
    </w:p>
    <w:p>
      <w:pPr>
        <w:pStyle w:val="Heading2"/>
        <w:ind w:hanging="0" w:start="0"/>
        <w:rPr>
          <w:caps/>
        </w:rPr>
      </w:pPr>
      <w:r>
        <w:rPr>
          <w:caps/>
        </w:rPr>
        <w:t>On Compliance Filing</w:t>
      </w:r>
    </w:p>
    <w:p>
      <w:pPr>
        <w:pStyle w:val="Normal"/>
        <w:jc w:val="center"/>
        <w:rPr>
          <w:caps/>
          <w:sz w:val="24"/>
        </w:rPr>
      </w:pPr>
      <w:r>
        <w:rPr>
          <w:caps/>
          <w:sz w:val="24"/>
        </w:rPr>
      </w:r>
    </w:p>
    <w:p>
      <w:pPr>
        <w:pStyle w:val="Normal"/>
        <w:jc w:val="center"/>
        <w:rPr>
          <w:sz w:val="24"/>
        </w:rPr>
      </w:pPr>
      <w:r>
        <w:rPr>
          <w:sz w:val="24"/>
        </w:rPr>
      </w:r>
    </w:p>
    <w:p>
      <w:pPr>
        <w:pStyle w:val="BodyText"/>
        <w:tabs>
          <w:tab w:val="clear" w:pos="720"/>
          <w:tab w:val="left" w:pos="1440" w:leader="none"/>
        </w:tabs>
        <w:rPr/>
      </w:pPr>
      <w:r>
        <w:rPr/>
        <w:tab/>
        <w:t>In Order No. 637 et seq.</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(“ENA”) hereby files its motion for leave to intervene and comments on the compliance filing of Trunkline Gas Company (“Trunkline”) in the above captioned-docket.</w:t>
      </w:r>
    </w:p>
    <w:p>
      <w:pPr>
        <w:pStyle w:val="BodyText"/>
        <w:tabs>
          <w:tab w:val="clear" w:pos="720"/>
          <w:tab w:val="left" w:pos="1440" w:leader="none"/>
        </w:tabs>
        <w:rPr/>
      </w:pPr>
      <w:r>
        <w:rPr/>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BodyText"/>
        <w:tabs>
          <w:tab w:val="clear" w:pos="720"/>
          <w:tab w:val="left" w:pos="1440" w:leader="none"/>
          <w:tab w:val="left" w:pos="3600" w:leader="none"/>
          <w:tab w:val="left" w:pos="4320" w:leader="none"/>
          <w:tab w:val="left" w:pos="5040" w:leader="none"/>
          <w:tab w:val="left" w:pos="5856" w:leader="none"/>
        </w:tabs>
        <w:rPr/>
      </w:pPr>
      <w:r>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rPr/>
      </w:pPr>
      <w:r>
        <w:rPr/>
        <w:tab/>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COMMENTS</w:t>
      </w:r>
    </w:p>
    <w:p>
      <w:pPr>
        <w:pStyle w:val="BodyText"/>
        <w:tabs>
          <w:tab w:val="clear" w:pos="720"/>
          <w:tab w:val="left" w:pos="1440" w:leader="none"/>
        </w:tabs>
        <w:rPr/>
      </w:pPr>
      <w:r>
        <w:rPr/>
        <w:tab/>
        <w:t>Trunkline has added new provisions to its tariff to effectuate segmenting of capacity and the use of alternate primary points for both receipts and deliveries.  Under the new sections, Trunkline will have five business days after a request for a new alternate primary point to determine if point capacity is available in order to add that new point to the service agreement.  Trunkline has also proposed a “use it or lose it” provision which states that an alternate primary point will be removed from a service agreement if the shipper fails to nominate and/or deliver gas at the point during any 30-day period.  (See §§10.1(b) and 11.2(b) of General Terms and Conditions.)  Trunkline argues in its filing that since alternate primary points have the same priority as primary points for scheduling and curtailment purposes and since shippers incur no cost to acquire them, shippers may add these points simply to have them in case they need them in the future or to prevent competitors from acquiring them.</w:t>
      </w:r>
    </w:p>
    <w:p>
      <w:pPr>
        <w:pStyle w:val="BodyText"/>
        <w:tabs>
          <w:tab w:val="clear" w:pos="720"/>
          <w:tab w:val="left" w:pos="1440" w:leader="none"/>
        </w:tabs>
        <w:rPr/>
      </w:pPr>
      <w:r>
        <w:rPr/>
        <w:tab/>
        <w:t>ENA believes that the “use it or lose it” provision in Trunkline’s proposed tariff is too restrictive.  While ENA certainly does not want to see its competitors “hoarding” capacity or signing up for alternate primary points simply to make those points unavailable to other shippers, it seems that the Trunkline solution will infringe as well on a shipper’s ability to take care of its normal business.  There are commonplace situations where a shipper would not use a delivery or receipt point for a 30-day period of time for business reasons that are far from nefarious.  A plant may be down, or production may be shut in.  A customer with dual-fuel capability might make an economic decision to burn an alternate fuel for some period.  If a shipper has an alternate primary point in its service agreement and it is not using that point, so long as no other shipper has requested that point, ENA sees no harm in allowing the shipper to retain that point.  That said, a rule that requires a shipper to use a point or lose it might be less objectionable if the time frame for the lack of use was much longer than 30 days.  This is especially true given that it would take five business days to get the point added again.  Since many arrangements are seasonal, the time period to trigger the “lose it” provision should be one year, so that usage can reflect any seasonal deal that required the shipper to use that particular alternate point.</w:t>
      </w:r>
    </w:p>
    <w:p>
      <w:pPr>
        <w:pStyle w:val="BodyText"/>
        <w:tabs>
          <w:tab w:val="clear" w:pos="720"/>
          <w:tab w:val="left" w:pos="1440" w:leader="none"/>
        </w:tabs>
        <w:rPr/>
      </w:pPr>
      <w:r>
        <w:rPr/>
      </w:r>
    </w:p>
    <w:p>
      <w:pPr>
        <w:pStyle w:val="BodyText"/>
        <w:keepNext w:val="true"/>
        <w:tabs>
          <w:tab w:val="clear" w:pos="720"/>
          <w:tab w:val="left" w:pos="1440" w:leader="none"/>
        </w:tabs>
        <w:jc w:val="center"/>
        <w:rPr>
          <w:b/>
          <w:caps/>
        </w:rPr>
      </w:pPr>
      <w:r>
        <w:rPr>
          <w:b/>
          <w:caps/>
        </w:rPr>
        <w:t>III.</w:t>
      </w:r>
    </w:p>
    <w:p>
      <w:pPr>
        <w:pStyle w:val="BodyText"/>
        <w:keepNext w:val="true"/>
        <w:tabs>
          <w:tab w:val="clear" w:pos="720"/>
          <w:tab w:val="left" w:pos="1269" w:leader="none"/>
          <w:tab w:val="left" w:pos="1440" w:leader="none"/>
        </w:tabs>
        <w:jc w:val="center"/>
        <w:rPr>
          <w:b/>
          <w:caps/>
        </w:rPr>
      </w:pPr>
      <w:r>
        <w:rPr>
          <w:b/>
          <w:caps/>
        </w:rPr>
        <w:t>Conclusion</w:t>
      </w:r>
    </w:p>
    <w:p>
      <w:pPr>
        <w:pStyle w:val="BodyText"/>
        <w:keepNext w:val="true"/>
        <w:tabs>
          <w:tab w:val="clear" w:pos="720"/>
          <w:tab w:val="left" w:pos="1440" w:leader="none"/>
        </w:tabs>
        <w:rPr/>
      </w:pPr>
      <w:r>
        <w:rPr>
          <w:caps/>
        </w:rPr>
        <w:tab/>
        <w:t xml:space="preserve">WHEREFORE, </w:t>
      </w:r>
      <w:r>
        <w:rPr/>
        <w:t>in light of the foregoing, ENA respectfully requests that the Commission grant it leave to intervene in this proceeding and require Trunkline to modify its proposed “use it or lose it” provision consistent with the discussion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September 14,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14th day of September,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BodyText"/>
        <w:jc w:val="center"/>
        <w:rPr/>
      </w:pPr>
      <w:r>
        <w:rPr/>
        <w:tab/>
        <w:tab/>
        <w:tab/>
        <w:tab/>
        <w:t>Leslie J. Lawner</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xml:space="preserve">, 91 F.E.R.C. ¶ 61,169 (2000) (Order No. 637-A), </w:t>
      </w:r>
      <w:r>
        <w:rPr>
          <w:i/>
        </w:rPr>
        <w:t>order denying reh’g</w:t>
      </w:r>
      <w:r>
        <w:rPr/>
        <w:t>, 92 F.E.R.C. ¶ 61,062 (2000) (Order No. 637-B).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fullPage"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PlainText">
    <w:name w:val="Plain Text"/>
    <w:basedOn w:val="Normal"/>
    <w:qFormat/>
    <w:pPr/>
    <w:rPr>
      <w:rFonts w:ascii="Courier New" w:hAnsi="Courier New" w:cs="Courier New"/>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2000-09-12T19:24:00Z</dcterms:created>
  <dc:creator>leslie joyce lawner</dc:creator>
  <dc:description/>
  <dc:language>en-CA</dc:language>
  <cp:lastModifiedBy>bcantre</cp:lastModifiedBy>
  <cp:lastPrinted>2000-09-13T14:08:00Z</cp:lastPrinted>
  <dcterms:modified xsi:type="dcterms:W3CDTF">2000-09-13T16:38:00Z</dcterms:modified>
  <cp:revision>4</cp:revision>
  <dc:subject/>
  <dc:title>UNITED STATES OF AMERICA</dc:title>
</cp:coreProperties>
</file>