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ATTACHMENT “A”</w:t>
      </w:r>
    </w:p>
    <w:p>
      <w:pPr>
        <w:pStyle w:val="Heading"/>
        <w:rPr/>
      </w:pPr>
      <w:r>
        <w:rPr/>
        <w:t>TERM SHEET</w:t>
      </w:r>
    </w:p>
    <w:p>
      <w:pPr>
        <w:pStyle w:val="Heading"/>
        <w:rPr/>
      </w:pPr>
      <w:r>
        <w:rPr/>
      </w:r>
    </w:p>
    <w:p>
      <w:pPr>
        <w:pStyle w:val="Normal"/>
        <w:jc w:val="center"/>
        <w:rPr>
          <w:b/>
        </w:rPr>
      </w:pPr>
      <w:r>
        <w:rPr>
          <w:b/>
        </w:rPr>
      </w:r>
    </w:p>
    <w:tbl>
      <w:tblPr>
        <w:tblW w:w="9576" w:type="dxa"/>
        <w:jc w:val="start"/>
        <w:tblInd w:w="0" w:type="dxa"/>
        <w:tblLayout w:type="fixed"/>
        <w:tblCellMar>
          <w:top w:w="0" w:type="dxa"/>
          <w:start w:w="108" w:type="dxa"/>
          <w:bottom w:w="0" w:type="dxa"/>
          <w:end w:w="108" w:type="dxa"/>
        </w:tblCellMar>
      </w:tblPr>
      <w:tblGrid>
        <w:gridCol w:w="2178"/>
        <w:gridCol w:w="270"/>
        <w:gridCol w:w="7128"/>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Enron Net Works L.L.C., a subsidiary of Enron North America Corp. (“Enron”), has developed and owns and operates EnronOnline (“EOL”), an electronic energy trading platform. True Quote LLC, a Delaware limited liability company (the “Company”), is in the process of developing an electronic energy trading platform.  In the proposed transaction, Enron will acquire a 37.34% equity interest in the Company, in exchange for an agreement (the “Posting Agreement” described in more detail below) pursuant to which Enron would agree to post prices for certain products on the Company’s platform, all as described on the terms and conditions set forth in this Term Sheet.</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Securities to be acquired by Enron:</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37.34% of the Company’s common equity (computed on a fully diluted basis).  Enron’s equity ownership is subject to anti-dilution protection as discussed below in “Preemptive Rights.”.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Definitive agreements governing Enron’s acquisition of its equity interest in the Company will include a Purchase Agreement, the Company’s LLC Agreement (amended and restated to incorporate the terms and conditions set forth herein), and the Posting Agreement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Closing Date:</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Upon satisfaction of all of the conditions to closing set forth below, but in no event later than _________, 2000.</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Posting Agreement:</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At the closing of the Transaction, the Company and Enron will enter into a “Posting Agreement” pursuant to which Enron will agree to post prices for certain products to the Company’s platform in a manner that permits the Company’s customers to electronically attempt to transact, through the Company’s website but on EOL’s database, with respect to Subject Products (defined below).  </w:t>
            </w:r>
          </w:p>
          <w:p>
            <w:pPr>
              <w:pStyle w:val="Normal"/>
              <w:jc w:val="both"/>
              <w:rPr>
                <w:sz w:val="22"/>
              </w:rPr>
            </w:pPr>
            <w:r>
              <w:rPr>
                <w:sz w:val="22"/>
              </w:rPr>
            </w:r>
          </w:p>
          <w:p>
            <w:pPr>
              <w:pStyle w:val="Normal"/>
              <w:jc w:val="both"/>
              <w:rPr>
                <w:sz w:val="22"/>
              </w:rPr>
            </w:pPr>
            <w:r>
              <w:rPr>
                <w:sz w:val="22"/>
              </w:rPr>
              <w:t xml:space="preserve">The Company will provide, at the Company’s expense and in accordance with Enron’s specifications and technical requirements to be set forth in the Posting Agreement, an interface which will be used by Enron to post prices for Subject Products on the Company’s website.  Enron will provide, at Enron’s expense and in accordance with Enron’s specifications and technical requirements to be set forth in the Posting Agreement, an interface for the Company’s customers to attempt transactions (as discussed below) on the EOL database.  </w:t>
            </w:r>
          </w:p>
          <w:p>
            <w:pPr>
              <w:pStyle w:val="Normal"/>
              <w:jc w:val="both"/>
              <w:rPr>
                <w:sz w:val="22"/>
              </w:rPr>
            </w:pPr>
            <w:r>
              <w:rPr>
                <w:sz w:val="22"/>
              </w:rPr>
            </w:r>
          </w:p>
          <w:p>
            <w:pPr>
              <w:pStyle w:val="Normal"/>
              <w:jc w:val="both"/>
              <w:rPr>
                <w:sz w:val="22"/>
              </w:rPr>
            </w:pPr>
            <w:r>
              <w:rPr>
                <w:sz w:val="22"/>
              </w:rPr>
              <w:t>The Company’s customers will be permitted to attempt to transact against prices posted by Enron at Enron’s sole discretion.  Accordingly, prices posted by Enron on the Company’s website shall not be deemed to be offers to sell or buy, and all attempted transactions must be validated against the EOL database in accordance with EOL’s customary operating policies and practices.  The point of contract for all transactions consummated on prices that are posted by Enron shall be the EOL database, and all of such transactions will be consummated pursuant to EOL’s General Terms and Conditions, or the terms of a master agreement between the Company’s customer and Enron, if any.  The manner in which the Company’s customers will agree to transact under EOL’s General Terms and Conditions is to be determined.</w:t>
            </w:r>
          </w:p>
          <w:p>
            <w:pPr>
              <w:pStyle w:val="Normal"/>
              <w:jc w:val="both"/>
              <w:rPr>
                <w:sz w:val="22"/>
              </w:rPr>
            </w:pPr>
            <w:r>
              <w:rPr>
                <w:sz w:val="22"/>
              </w:rPr>
            </w:r>
          </w:p>
          <w:p>
            <w:pPr>
              <w:pStyle w:val="Normal"/>
              <w:jc w:val="both"/>
              <w:rPr>
                <w:sz w:val="22"/>
              </w:rPr>
            </w:pPr>
            <w:r>
              <w:rPr>
                <w:sz w:val="22"/>
              </w:rPr>
              <w:t xml:space="preserve">The process of and responsibility for “mapping” the products offered by the Company and the prices posted by Enron in order to ensure accurate matching of Subject Products between the Company’s website and EOL’s database is to be determined. </w:t>
            </w:r>
          </w:p>
          <w:p>
            <w:pPr>
              <w:pStyle w:val="Normal"/>
              <w:jc w:val="both"/>
              <w:rPr>
                <w:sz w:val="22"/>
              </w:rPr>
            </w:pPr>
            <w:r>
              <w:rPr>
                <w:sz w:val="22"/>
              </w:rPr>
            </w:r>
          </w:p>
          <w:p>
            <w:pPr>
              <w:pStyle w:val="Normal"/>
              <w:jc w:val="both"/>
              <w:rPr>
                <w:sz w:val="22"/>
              </w:rPr>
            </w:pPr>
            <w:r>
              <w:rPr>
                <w:sz w:val="22"/>
              </w:rPr>
              <w:t xml:space="preserve">Enron will not be required to pay to the Company any commission or other charge with respect to any transaction completed with EOL through the Company’s Platform.  Commissions charged to those customers completing transactions with EOL shall not exceed the Company’s standard rates.  Each party shall be solely responsible for the costs and expenses of operating and maintaining its respective platform; the Company will be responsible for all telecommunication costs and expenses from the Company’s website to EOL’s website. </w:t>
            </w:r>
          </w:p>
          <w:p>
            <w:pPr>
              <w:pStyle w:val="Normal"/>
              <w:jc w:val="both"/>
              <w:rPr>
                <w:sz w:val="22"/>
              </w:rPr>
            </w:pPr>
            <w:r>
              <w:rPr>
                <w:sz w:val="22"/>
              </w:rPr>
            </w:r>
          </w:p>
          <w:p>
            <w:pPr>
              <w:pStyle w:val="Normal"/>
              <w:jc w:val="both"/>
              <w:rPr>
                <w:sz w:val="22"/>
              </w:rPr>
            </w:pPr>
            <w:r>
              <w:rPr>
                <w:sz w:val="22"/>
              </w:rPr>
              <w:t>Prior to Closing, the Company and Enron will agree to specific products with respect to which Enron will post prices on the Company’s Platform (the Subject Products”).  Additional products may be added or deleted by subsequent agreement of the parties, but Enron shall have no obligation to post prices with respect to products for which it no longer posts prices on EOL, or to otherwise act in a manner that is inconsistent with or contrary to its business methods, practices or policies employed on EOL.</w:t>
            </w:r>
          </w:p>
          <w:p>
            <w:pPr>
              <w:pStyle w:val="Normal"/>
              <w:jc w:val="both"/>
              <w:rPr>
                <w:sz w:val="22"/>
              </w:rPr>
            </w:pPr>
            <w:r>
              <w:rPr>
                <w:sz w:val="22"/>
              </w:rPr>
            </w:r>
          </w:p>
          <w:p>
            <w:pPr>
              <w:pStyle w:val="Normal"/>
              <w:jc w:val="both"/>
              <w:rPr>
                <w:sz w:val="22"/>
              </w:rPr>
            </w:pPr>
            <w:r>
              <w:rPr>
                <w:sz w:val="22"/>
              </w:rPr>
              <w:t>Circumstances under which the Agreement may be terminated by a party, and consequences of either party’s breach of the Agreement, are to be negotiated.</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Preemptive Rights:</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At any time prior to the Company’s initial public offering, Enron shall be entitled to purchase its pro rata (based upon its equity ownership) share of any additional common equity offered by the Company, on the same terms and conditions as such equity may be offered to third parties.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Right to Board Seat; Visitation and Information Rights; Veto Rights:</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i/>
                <w:i/>
                <w:sz w:val="22"/>
              </w:rPr>
            </w:pPr>
            <w:r>
              <w:rPr>
                <w:sz w:val="22"/>
              </w:rPr>
              <w:t>At all times prior to the Company’s initial public offering, Enron shall be entitled to appoint a representative to the Company’s Board of Directors.   If Enron shall not have exercised its right to appoint a member of the Board, Enron shall be entitled to receive prior notice of board action and to attend board meetings, and shall be entitled to access to books and records of the Company.  Enron shall not have any responsibility for the day-to-day management of the Company; however, the Company may not, without Enron’s consent (which may be withheld in its sole discretion): (i) sell all or substantially all of the assets of the Company; (ii) enter into any merger or consolidation transaction with any other entity in which the Company is not the surviving entity of such transaction, or Enron’s equity ownership in the surviving entity is less that 37.34%; (iii) change its line of business; (iv) incur indebtedness in excess of a specified amount; (v) issue equity interests with preferential voting or distribution rights; (vi) enter into any acquisition of assets in excess of $___ in a single transaction; (vii) reorganize, restructure, recapitalize, or take similar measures; (viii) amend its LLC Agreement.</w:t>
            </w:r>
          </w:p>
        </w:tc>
      </w:tr>
      <w:tr>
        <w:trPr/>
        <w:tc>
          <w:tcPr>
            <w:tcW w:w="2178" w:type="dxa"/>
            <w:tcBorders/>
          </w:tcPr>
          <w:p>
            <w:pPr>
              <w:pStyle w:val="Normal"/>
              <w:snapToGrid w:val="false"/>
              <w:rPr>
                <w:b/>
                <w:i/>
                <w:i/>
                <w:sz w:val="22"/>
              </w:rPr>
            </w:pPr>
            <w:r>
              <w:rPr>
                <w:b/>
                <w:i/>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Rights to Information:</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Enron shall be entitled to receive the Company’s financial and operating information upon request, with specified information (financial statements, etc.) to be provided on a regularly scheduled basis.  Information will be provided subject to confidentiality restrictions contained in the LLC Agreement, legal restrictions (including antitrust considerations), and website independence and neutrality considerations.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Enron Transfer Rights/Right of First Refusal:</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Enron shall be entitled to transfer its equity interest, in whole or in part, at any time without restriction, other than those imposed by federal and state securities laws; provided, however, that the other equity holders of the Company will have the preferential right to purchase any equity interest proposed to be transferred by Enron to a third party on the same terms and conditions of the third party offer..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Registration Rights:</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Enron will have three (3) demand registration rights and unlimited piggyback registration rights, with customary terms and provisions.  Enron shall have the right to require the Company to convert to a corporation and conduct an initial public offering of its common equity in the event that a nationally recognized investment banking firm advises Enron and the Company that the Company’s equity valuation is at least $_______ million.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Purchase Agreement:</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The Company shall make representations and warranties (accompanied by customary indemnities) that are customary for transactions of this nature, including but not limited to:</w:t>
            </w:r>
          </w:p>
          <w:p>
            <w:pPr>
              <w:pStyle w:val="Normal"/>
              <w:jc w:val="both"/>
              <w:rPr>
                <w:sz w:val="22"/>
              </w:rPr>
            </w:pPr>
            <w:r>
              <w:rPr>
                <w:sz w:val="22"/>
              </w:rPr>
            </w:r>
          </w:p>
          <w:p>
            <w:pPr>
              <w:pStyle w:val="Normal"/>
              <w:numPr>
                <w:ilvl w:val="0"/>
                <w:numId w:val="2"/>
              </w:numPr>
              <w:tabs>
                <w:tab w:val="clear" w:pos="720"/>
                <w:tab w:val="left" w:pos="1368" w:leader="none"/>
              </w:tabs>
              <w:ind w:hanging="360" w:start="1368" w:end="0"/>
              <w:jc w:val="both"/>
              <w:rPr>
                <w:sz w:val="22"/>
              </w:rPr>
            </w:pPr>
            <w:r>
              <w:rPr>
                <w:sz w:val="22"/>
              </w:rPr>
              <w:t>corporate existence and qualification;</w:t>
            </w:r>
          </w:p>
          <w:p>
            <w:pPr>
              <w:pStyle w:val="Normal"/>
              <w:numPr>
                <w:ilvl w:val="0"/>
                <w:numId w:val="2"/>
              </w:numPr>
              <w:tabs>
                <w:tab w:val="clear" w:pos="720"/>
                <w:tab w:val="left" w:pos="1368" w:leader="none"/>
              </w:tabs>
              <w:ind w:hanging="360" w:start="1368" w:end="0"/>
              <w:jc w:val="both"/>
              <w:rPr>
                <w:sz w:val="22"/>
              </w:rPr>
            </w:pPr>
            <w:r>
              <w:rPr>
                <w:sz w:val="22"/>
              </w:rPr>
              <w:t>organizational documents;</w:t>
            </w:r>
          </w:p>
          <w:p>
            <w:pPr>
              <w:pStyle w:val="Normal"/>
              <w:numPr>
                <w:ilvl w:val="0"/>
                <w:numId w:val="2"/>
              </w:numPr>
              <w:tabs>
                <w:tab w:val="clear" w:pos="720"/>
                <w:tab w:val="left" w:pos="1368" w:leader="none"/>
              </w:tabs>
              <w:ind w:hanging="360" w:start="1368" w:end="0"/>
              <w:jc w:val="both"/>
              <w:rPr>
                <w:sz w:val="22"/>
              </w:rPr>
            </w:pPr>
            <w:r>
              <w:rPr>
                <w:sz w:val="22"/>
              </w:rPr>
              <w:t>corporate and governmental authorization;</w:t>
            </w:r>
          </w:p>
          <w:p>
            <w:pPr>
              <w:pStyle w:val="Normal"/>
              <w:numPr>
                <w:ilvl w:val="0"/>
                <w:numId w:val="2"/>
              </w:numPr>
              <w:tabs>
                <w:tab w:val="clear" w:pos="720"/>
                <w:tab w:val="left" w:pos="1368" w:leader="none"/>
              </w:tabs>
              <w:ind w:hanging="360" w:start="1368" w:end="0"/>
              <w:jc w:val="both"/>
              <w:rPr>
                <w:sz w:val="22"/>
              </w:rPr>
            </w:pPr>
            <w:r>
              <w:rPr>
                <w:sz w:val="22"/>
              </w:rPr>
              <w:t>authorization and issuance of securities;</w:t>
            </w:r>
          </w:p>
          <w:p>
            <w:pPr>
              <w:pStyle w:val="Normal"/>
              <w:numPr>
                <w:ilvl w:val="0"/>
                <w:numId w:val="2"/>
              </w:numPr>
              <w:tabs>
                <w:tab w:val="clear" w:pos="720"/>
                <w:tab w:val="left" w:pos="1368" w:leader="none"/>
              </w:tabs>
              <w:ind w:hanging="360" w:start="1368" w:end="0"/>
              <w:jc w:val="both"/>
              <w:rPr>
                <w:sz w:val="22"/>
              </w:rPr>
            </w:pPr>
            <w:r>
              <w:rPr>
                <w:sz w:val="22"/>
              </w:rPr>
              <w:t>financial statements and condition (including capitalization);</w:t>
            </w:r>
          </w:p>
          <w:p>
            <w:pPr>
              <w:pStyle w:val="Normal"/>
              <w:numPr>
                <w:ilvl w:val="0"/>
                <w:numId w:val="2"/>
              </w:numPr>
              <w:tabs>
                <w:tab w:val="clear" w:pos="720"/>
                <w:tab w:val="left" w:pos="1368" w:leader="none"/>
              </w:tabs>
              <w:ind w:hanging="360" w:start="1368" w:end="0"/>
              <w:jc w:val="both"/>
              <w:rPr>
                <w:sz w:val="22"/>
              </w:rPr>
            </w:pPr>
            <w:r>
              <w:rPr>
                <w:sz w:val="22"/>
              </w:rPr>
              <w:t>compliance with laws;</w:t>
            </w:r>
          </w:p>
          <w:p>
            <w:pPr>
              <w:pStyle w:val="Normal"/>
              <w:numPr>
                <w:ilvl w:val="0"/>
                <w:numId w:val="2"/>
              </w:numPr>
              <w:tabs>
                <w:tab w:val="clear" w:pos="720"/>
                <w:tab w:val="left" w:pos="1368" w:leader="none"/>
              </w:tabs>
              <w:ind w:hanging="360" w:start="1368" w:end="0"/>
              <w:jc w:val="both"/>
              <w:rPr>
                <w:sz w:val="22"/>
              </w:rPr>
            </w:pPr>
            <w:r>
              <w:rPr>
                <w:sz w:val="22"/>
              </w:rPr>
              <w:t>consents and approvals;</w:t>
            </w:r>
          </w:p>
          <w:p>
            <w:pPr>
              <w:pStyle w:val="Normal"/>
              <w:numPr>
                <w:ilvl w:val="0"/>
                <w:numId w:val="2"/>
              </w:numPr>
              <w:tabs>
                <w:tab w:val="clear" w:pos="720"/>
                <w:tab w:val="left" w:pos="1368" w:leader="none"/>
              </w:tabs>
              <w:ind w:hanging="360" w:start="1368" w:end="0"/>
              <w:jc w:val="both"/>
              <w:rPr>
                <w:sz w:val="22"/>
              </w:rPr>
            </w:pPr>
            <w:r>
              <w:rPr>
                <w:sz w:val="22"/>
              </w:rPr>
              <w:t>no material litigation or contingencies;</w:t>
            </w:r>
          </w:p>
          <w:p>
            <w:pPr>
              <w:pStyle w:val="Normal"/>
              <w:numPr>
                <w:ilvl w:val="0"/>
                <w:numId w:val="2"/>
              </w:numPr>
              <w:tabs>
                <w:tab w:val="clear" w:pos="720"/>
                <w:tab w:val="left" w:pos="1368" w:leader="none"/>
              </w:tabs>
              <w:ind w:hanging="360" w:start="1368" w:end="0"/>
              <w:jc w:val="both"/>
              <w:rPr>
                <w:sz w:val="22"/>
              </w:rPr>
            </w:pPr>
            <w:r>
              <w:rPr>
                <w:sz w:val="22"/>
              </w:rPr>
              <w:t>taxes;</w:t>
            </w:r>
          </w:p>
          <w:p>
            <w:pPr>
              <w:pStyle w:val="Normal"/>
              <w:numPr>
                <w:ilvl w:val="0"/>
                <w:numId w:val="2"/>
              </w:numPr>
              <w:tabs>
                <w:tab w:val="clear" w:pos="720"/>
                <w:tab w:val="left" w:pos="1368" w:leader="none"/>
              </w:tabs>
              <w:ind w:hanging="360" w:start="1368" w:end="0"/>
              <w:jc w:val="both"/>
              <w:rPr>
                <w:sz w:val="22"/>
              </w:rPr>
            </w:pPr>
            <w:r>
              <w:rPr>
                <w:sz w:val="22"/>
              </w:rPr>
              <w:t>ownership and control;</w:t>
            </w:r>
          </w:p>
          <w:p>
            <w:pPr>
              <w:pStyle w:val="Normal"/>
              <w:numPr>
                <w:ilvl w:val="0"/>
                <w:numId w:val="2"/>
              </w:numPr>
              <w:tabs>
                <w:tab w:val="clear" w:pos="720"/>
                <w:tab w:val="left" w:pos="1368" w:leader="none"/>
              </w:tabs>
              <w:ind w:hanging="360" w:start="1368" w:end="0"/>
              <w:jc w:val="both"/>
              <w:rPr>
                <w:sz w:val="22"/>
              </w:rPr>
            </w:pPr>
            <w:r>
              <w:rPr>
                <w:sz w:val="22"/>
              </w:rPr>
              <w:t xml:space="preserve">qualifications for private placement exemption. </w:t>
            </w:r>
          </w:p>
          <w:p>
            <w:pPr>
              <w:pStyle w:val="Normal"/>
              <w:jc w:val="both"/>
              <w:rPr>
                <w:sz w:val="22"/>
              </w:rPr>
            </w:pPr>
            <w:r>
              <w:rPr>
                <w:sz w:val="22"/>
              </w:rPr>
            </w:r>
          </w:p>
          <w:p>
            <w:pPr>
              <w:pStyle w:val="Normal"/>
              <w:jc w:val="both"/>
              <w:rPr>
                <w:sz w:val="22"/>
              </w:rPr>
            </w:pPr>
            <w:r>
              <w:rPr>
                <w:sz w:val="22"/>
              </w:rPr>
              <w:t>Enron will make representations and warranties that are customary for transactions of this nature, including but not limited to:</w:t>
            </w:r>
          </w:p>
          <w:p>
            <w:pPr>
              <w:pStyle w:val="Normal"/>
              <w:jc w:val="both"/>
              <w:rPr>
                <w:sz w:val="22"/>
              </w:rPr>
            </w:pPr>
            <w:r>
              <w:rPr>
                <w:sz w:val="22"/>
              </w:rPr>
            </w:r>
          </w:p>
          <w:p>
            <w:pPr>
              <w:pStyle w:val="Normal"/>
              <w:numPr>
                <w:ilvl w:val="0"/>
                <w:numId w:val="2"/>
              </w:numPr>
              <w:tabs>
                <w:tab w:val="clear" w:pos="720"/>
                <w:tab w:val="left" w:pos="1368" w:leader="none"/>
              </w:tabs>
              <w:ind w:hanging="360" w:start="1368" w:end="0"/>
              <w:jc w:val="both"/>
              <w:rPr>
                <w:sz w:val="22"/>
              </w:rPr>
            </w:pPr>
            <w:r>
              <w:rPr>
                <w:sz w:val="22"/>
              </w:rPr>
              <w:t>corporate existence and qualification;</w:t>
            </w:r>
          </w:p>
          <w:p>
            <w:pPr>
              <w:pStyle w:val="Normal"/>
              <w:numPr>
                <w:ilvl w:val="0"/>
                <w:numId w:val="2"/>
              </w:numPr>
              <w:tabs>
                <w:tab w:val="clear" w:pos="720"/>
                <w:tab w:val="left" w:pos="1368" w:leader="none"/>
              </w:tabs>
              <w:ind w:hanging="360" w:start="1368" w:end="0"/>
              <w:jc w:val="both"/>
              <w:rPr>
                <w:sz w:val="22"/>
              </w:rPr>
            </w:pPr>
            <w:r>
              <w:rPr>
                <w:sz w:val="22"/>
              </w:rPr>
              <w:t>corporate and governmental authorization;</w:t>
            </w:r>
          </w:p>
          <w:p>
            <w:pPr>
              <w:pStyle w:val="Normal"/>
              <w:numPr>
                <w:ilvl w:val="0"/>
                <w:numId w:val="2"/>
              </w:numPr>
              <w:tabs>
                <w:tab w:val="clear" w:pos="720"/>
                <w:tab w:val="left" w:pos="1368" w:leader="none"/>
              </w:tabs>
              <w:ind w:hanging="360" w:start="1368" w:end="0"/>
              <w:jc w:val="both"/>
              <w:rPr>
                <w:sz w:val="22"/>
              </w:rPr>
            </w:pPr>
            <w:r>
              <w:rPr>
                <w:sz w:val="22"/>
              </w:rPr>
              <w:t>no material litigation;</w:t>
            </w:r>
          </w:p>
          <w:p>
            <w:pPr>
              <w:pStyle w:val="Normal"/>
              <w:numPr>
                <w:ilvl w:val="0"/>
                <w:numId w:val="2"/>
              </w:numPr>
              <w:tabs>
                <w:tab w:val="clear" w:pos="720"/>
                <w:tab w:val="left" w:pos="1368" w:leader="none"/>
              </w:tabs>
              <w:ind w:hanging="360" w:start="1368" w:end="0"/>
              <w:jc w:val="both"/>
              <w:rPr>
                <w:sz w:val="22"/>
              </w:rPr>
            </w:pPr>
            <w:r>
              <w:rPr>
                <w:sz w:val="22"/>
              </w:rPr>
              <w:t>access to information regarding the Company;</w:t>
            </w:r>
          </w:p>
          <w:p>
            <w:pPr>
              <w:pStyle w:val="Normal"/>
              <w:numPr>
                <w:ilvl w:val="0"/>
                <w:numId w:val="2"/>
              </w:numPr>
              <w:tabs>
                <w:tab w:val="clear" w:pos="720"/>
                <w:tab w:val="left" w:pos="1368" w:leader="none"/>
              </w:tabs>
              <w:ind w:hanging="360" w:start="1368" w:end="0"/>
              <w:jc w:val="both"/>
              <w:rPr>
                <w:sz w:val="22"/>
              </w:rPr>
            </w:pPr>
            <w:r>
              <w:rPr>
                <w:sz w:val="22"/>
              </w:rPr>
              <w:t>additional representations and warranties necessary to qualify the transaction for a private placement exemption under the U.S. securities laws.</w:t>
            </w:r>
          </w:p>
          <w:p>
            <w:pPr>
              <w:pStyle w:val="Normal"/>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Business Opportunity Agreement:</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The Definitive Agreements will include a business opportunity agreement providing that Enron and its affiliates shall be entitled to enter into similar commercial transactions with other parties, including ventures that may compete with the Company.</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Conditions to Closing:</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Usual and customary for transactions of this nature, including but not limited to the following:</w:t>
            </w:r>
          </w:p>
          <w:p>
            <w:pPr>
              <w:pStyle w:val="Normal"/>
              <w:jc w:val="both"/>
              <w:rPr>
                <w:sz w:val="22"/>
              </w:rPr>
            </w:pPr>
            <w:r>
              <w:rPr>
                <w:sz w:val="22"/>
              </w:rPr>
            </w:r>
          </w:p>
          <w:p>
            <w:pPr>
              <w:pStyle w:val="Normal"/>
              <w:numPr>
                <w:ilvl w:val="0"/>
                <w:numId w:val="3"/>
              </w:numPr>
              <w:jc w:val="both"/>
              <w:rPr>
                <w:sz w:val="22"/>
              </w:rPr>
            </w:pPr>
            <w:r>
              <w:rPr>
                <w:sz w:val="22"/>
              </w:rPr>
              <w:t>completion of due diligence investigations satisfactory to Enron;</w:t>
            </w:r>
          </w:p>
          <w:p>
            <w:pPr>
              <w:pStyle w:val="Normal"/>
              <w:numPr>
                <w:ilvl w:val="0"/>
                <w:numId w:val="3"/>
              </w:numPr>
              <w:jc w:val="both"/>
              <w:rPr>
                <w:sz w:val="22"/>
              </w:rPr>
            </w:pPr>
            <w:r>
              <w:rPr>
                <w:sz w:val="22"/>
              </w:rPr>
              <w:t xml:space="preserve">negotiation of Definitive Agreements to the satisfaction of each of the parties, with all Definitive Agreements in full force and effect; </w:t>
            </w:r>
          </w:p>
          <w:p>
            <w:pPr>
              <w:pStyle w:val="Normal"/>
              <w:numPr>
                <w:ilvl w:val="0"/>
                <w:numId w:val="3"/>
              </w:numPr>
              <w:jc w:val="both"/>
              <w:rPr>
                <w:sz w:val="22"/>
              </w:rPr>
            </w:pPr>
            <w:r>
              <w:rPr>
                <w:sz w:val="22"/>
              </w:rPr>
              <w:t>all representations and warranties in the Definitive Agreements shall be true and correct;</w:t>
            </w:r>
          </w:p>
          <w:p>
            <w:pPr>
              <w:pStyle w:val="Normal"/>
              <w:numPr>
                <w:ilvl w:val="0"/>
                <w:numId w:val="3"/>
              </w:numPr>
              <w:jc w:val="both"/>
              <w:rPr>
                <w:sz w:val="22"/>
              </w:rPr>
            </w:pPr>
            <w:r>
              <w:rPr>
                <w:sz w:val="22"/>
              </w:rPr>
              <w:t>there shall be no order, statute, law, regulation, etc. prohibiting the transactions contemplated by the Definitive Agreements;</w:t>
            </w:r>
          </w:p>
          <w:p>
            <w:pPr>
              <w:pStyle w:val="Normal"/>
              <w:numPr>
                <w:ilvl w:val="0"/>
                <w:numId w:val="3"/>
              </w:numPr>
              <w:jc w:val="both"/>
              <w:rPr>
                <w:sz w:val="22"/>
              </w:rPr>
            </w:pPr>
            <w:r>
              <w:rPr>
                <w:sz w:val="22"/>
              </w:rPr>
              <w:t xml:space="preserve">compliance with laws (including Hart-Scott-Rodino, if applicable); </w:t>
            </w:r>
          </w:p>
          <w:p>
            <w:pPr>
              <w:pStyle w:val="Normal"/>
              <w:numPr>
                <w:ilvl w:val="0"/>
                <w:numId w:val="3"/>
              </w:numPr>
              <w:jc w:val="both"/>
              <w:rPr>
                <w:sz w:val="22"/>
              </w:rPr>
            </w:pPr>
            <w:r>
              <w:rPr>
                <w:sz w:val="22"/>
              </w:rPr>
              <w:t>receipt of necessary consents and approvals; and</w:t>
            </w:r>
          </w:p>
          <w:p>
            <w:pPr>
              <w:pStyle w:val="Normal"/>
              <w:numPr>
                <w:ilvl w:val="0"/>
                <w:numId w:val="3"/>
              </w:numPr>
              <w:jc w:val="both"/>
              <w:rPr>
                <w:sz w:val="22"/>
              </w:rPr>
            </w:pPr>
            <w:r>
              <w:rPr>
                <w:sz w:val="22"/>
              </w:rPr>
              <w:t>receipt of customary legal opinions.</w:t>
            </w:r>
          </w:p>
          <w:p>
            <w:pPr>
              <w:pStyle w:val="Normal"/>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The Definitive Agreements will include a confidentiality agreement requiring each of Enron and the Company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 xml:space="preserve">Each of Enron and the Company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28"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28"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CRATE A BINDING OR ENFORCEABLE CONTRACT BETWEEN THE PARTIES OR ANY DUTY ON THE PART OF ANY PERSON TO NEGOTIATION TOWARD A BIDING CONTRACT.  THE PARTIES MAY TERMINATE DISCUSSIONS AND NEGOTIATIONS REGARDING A POSSIBLE TRANSACTION AT ANY TIME WITHOUT CAUSE AND WITHOUT ANY LIABILITY WHATSOEVER, AND THIS SUMMARY MAY NOT BE RELIED UPON BY ANY PERSON AS THE BASIS FOR A CONTRACT BY ESTOPPEL OR OTHERWISE.</w:t>
      </w:r>
    </w:p>
    <w:sectPr>
      <w:headerReference w:type="default" r:id="rId2"/>
      <w:type w:val="nextPage"/>
      <w:pgSz w:w="12240" w:h="15840"/>
      <w:pgMar w:left="1440" w:right="1440" w:gutter="0" w:header="1440" w:top="1496"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rPr>
    </w:pPr>
    <w:r>
      <w:rPr>
        <w:b/>
        <w:i/>
      </w:rPr>
      <w:t>draft – for discussion</w:t>
    </w:r>
  </w:p>
  <w:p>
    <w:pPr>
      <w:pStyle w:val="Header"/>
      <w:jc w:val="end"/>
      <w:rPr>
        <w:b/>
        <w:i/>
        <w:i/>
      </w:rPr>
    </w:pPr>
    <w:r>
      <w:rPr>
        <w:b/>
        <w:i/>
      </w:rPr>
      <w:t>purposes only</w:t>
    </w:r>
  </w:p>
  <w:p>
    <w:pPr>
      <w:pStyle w:val="Header"/>
      <w:jc w:val="end"/>
      <w:rPr>
        <w:b/>
        <w:i/>
        <w:i/>
      </w:rPr>
    </w:pPr>
    <w:r>
      <w:rPr>
        <w:b/>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24"/>
      </w:rPr>
    </w:lvl>
  </w:abstractNum>
  <w:abstractNum w:abstractNumId="3">
    <w:lvl w:ilvl="0">
      <w:start w:val="1"/>
      <w:numFmt w:val="bullet"/>
      <w:lvlText w:val=""/>
      <w:lvlJc w:val="start"/>
      <w:pPr>
        <w:tabs>
          <w:tab w:val="num" w:pos="360"/>
        </w:tabs>
        <w:ind w:start="360" w:hanging="360"/>
      </w:pPr>
      <w:rPr>
        <w:rFonts w:ascii="Wingdings" w:hAnsi="Wingdings" w:cs="Wingdings" w:hint="default"/>
        <w:sz w:val="24"/>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rFonts w:ascii="Wingdings" w:hAnsi="Wingdings" w:cs="Wingdings"/>
      <w:sz w:val="24"/>
    </w:rPr>
  </w:style>
  <w:style w:type="character" w:styleId="WW8Num2z0">
    <w:name w:val="WW8Num2z0"/>
    <w:qFormat/>
    <w:rPr>
      <w:rFonts w:ascii="Wingdings" w:hAnsi="Wingdings" w:cs="Wingdings"/>
      <w:sz w:val="24"/>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2000-05-09T19:18:00Z</dcterms:created>
  <dc:creator>tmccull</dc:creator>
  <dc:description/>
  <dc:language>en-CA</dc:language>
  <cp:lastModifiedBy>tmccull</cp:lastModifiedBy>
  <cp:lastPrinted>2000-05-09T13:26:00Z</cp:lastPrinted>
  <dcterms:modified xsi:type="dcterms:W3CDTF">2000-05-09T19:45:00Z</dcterms:modified>
  <cp:revision>4</cp:revision>
  <dc:subject/>
  <dc:title>ATTACHMENT “A”</dc:title>
</cp:coreProperties>
</file>