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single"/>
        </w:rPr>
      </w:pPr>
      <w:r>
        <w:rPr>
          <w:u w:val="single"/>
        </w:rPr>
        <w:t>Tropical Reference Sheet</w:t>
      </w:r>
    </w:p>
    <w:p>
      <w:pPr>
        <w:pStyle w:val="Normal"/>
        <w:rPr>
          <w:sz w:val="48"/>
          <w:u w:val="single"/>
        </w:rPr>
      </w:pPr>
      <w:r>
        <w:rPr>
          <w:sz w:val="48"/>
          <w:u w:val="single"/>
        </w:rPr>
      </w:r>
    </w:p>
    <w:p>
      <w:pPr>
        <w:pStyle w:val="BodyText"/>
        <w:rPr/>
      </w:pPr>
      <w:r>
        <w:rPr>
          <w:b/>
          <w:bCs/>
          <w:u w:val="single"/>
        </w:rPr>
        <w:t>Tropical Wave</w:t>
      </w:r>
      <w:r>
        <w:rPr/>
        <w:t xml:space="preserve"> – Just a band of showers and thunderstorms, usually accompanied by gusty winds of 20-25 mph and occasional heavy rain. </w:t>
      </w:r>
    </w:p>
    <w:p>
      <w:pPr>
        <w:pStyle w:val="Normal"/>
        <w:rPr>
          <w:sz w:val="28"/>
        </w:rPr>
      </w:pPr>
      <w:r>
        <w:rPr>
          <w:sz w:val="28"/>
        </w:rPr>
      </w:r>
    </w:p>
    <w:p>
      <w:pPr>
        <w:pStyle w:val="Normal"/>
        <w:rPr/>
      </w:pPr>
      <w:r>
        <w:rPr>
          <w:b/>
          <w:bCs/>
          <w:sz w:val="28"/>
          <w:u w:val="single"/>
        </w:rPr>
        <w:t>Tropical Low (Disturbance)</w:t>
      </w:r>
      <w:r>
        <w:rPr>
          <w:sz w:val="28"/>
        </w:rPr>
        <w:t xml:space="preserve"> – Some circulation evident, usually winds of 20-25 mph or less. Still accompanied by occasional heavy rain, squally. </w:t>
      </w:r>
    </w:p>
    <w:p>
      <w:pPr>
        <w:pStyle w:val="Normal"/>
        <w:rPr>
          <w:sz w:val="28"/>
        </w:rPr>
      </w:pPr>
      <w:r>
        <w:rPr>
          <w:sz w:val="28"/>
        </w:rPr>
      </w:r>
    </w:p>
    <w:p>
      <w:pPr>
        <w:pStyle w:val="Normal"/>
        <w:rPr/>
      </w:pPr>
      <w:r>
        <w:rPr>
          <w:b/>
          <w:bCs/>
          <w:sz w:val="28"/>
          <w:u w:val="single"/>
        </w:rPr>
        <w:t>Tropical Depression</w:t>
      </w:r>
      <w:r>
        <w:rPr>
          <w:sz w:val="28"/>
        </w:rPr>
        <w:t xml:space="preserve"> – Circulation defined with sustainable winds of 30 mph but less than 40 mph. Heavy rain bands usually evident. First forming stages. </w:t>
      </w:r>
    </w:p>
    <w:p>
      <w:pPr>
        <w:pStyle w:val="Normal"/>
        <w:rPr>
          <w:sz w:val="28"/>
        </w:rPr>
      </w:pPr>
      <w:r>
        <w:rPr>
          <w:sz w:val="28"/>
        </w:rPr>
      </w:r>
    </w:p>
    <w:p>
      <w:pPr>
        <w:pStyle w:val="Normal"/>
        <w:rPr/>
      </w:pPr>
      <w:r>
        <w:rPr>
          <w:b/>
          <w:bCs/>
          <w:sz w:val="28"/>
          <w:u w:val="single"/>
        </w:rPr>
        <w:t>Tropical Storm</w:t>
      </w:r>
      <w:r>
        <w:rPr>
          <w:sz w:val="28"/>
        </w:rPr>
        <w:t xml:space="preserve"> – Circulation better defined and the storm gets a “name.” Winds anywhere between 40 mph to 75 mph. Rain becomes more concentrated and heavy. Second stage of development.</w:t>
      </w:r>
    </w:p>
    <w:p>
      <w:pPr>
        <w:pStyle w:val="Normal"/>
        <w:rPr>
          <w:sz w:val="28"/>
        </w:rPr>
      </w:pPr>
      <w:r>
        <w:rPr>
          <w:sz w:val="28"/>
        </w:rPr>
      </w:r>
    </w:p>
    <w:p>
      <w:pPr>
        <w:pStyle w:val="Normal"/>
        <w:rPr/>
      </w:pPr>
      <w:r>
        <w:rPr>
          <w:b/>
          <w:bCs/>
          <w:sz w:val="28"/>
          <w:u w:val="single"/>
        </w:rPr>
        <w:t>Hurricane</w:t>
      </w:r>
      <w:r>
        <w:rPr>
          <w:sz w:val="28"/>
        </w:rPr>
        <w:t xml:space="preserve"> – Winds of 75 mph or greater, usually accompanied by an “eye” in the center of the storm. Impacts become strong to severe. Hurricanes are classified into catagories according to the Saffir-Simpson scale. Very heavy rain, squalls and a well defined system. Last stage of development. </w:t>
      </w:r>
    </w:p>
    <w:p>
      <w:pPr>
        <w:pStyle w:val="Normal"/>
        <w:rPr>
          <w:sz w:val="28"/>
        </w:rPr>
      </w:pPr>
      <w:r>
        <w:rPr>
          <w:sz w:val="28"/>
        </w:rPr>
      </w:r>
    </w:p>
    <w:p>
      <w:pPr>
        <w:pStyle w:val="Normal"/>
        <w:rPr>
          <w:sz w:val="28"/>
        </w:rPr>
      </w:pPr>
      <w:r>
        <w:rPr>
          <w:sz w:val="28"/>
        </w:rPr>
      </w:r>
    </w:p>
    <w:p>
      <w:pPr>
        <w:pStyle w:val="Heading1"/>
        <w:ind w:hanging="0" w:start="0"/>
        <w:rPr>
          <w:sz w:val="28"/>
          <w:u w:val="none"/>
        </w:rPr>
      </w:pPr>
      <w:r>
        <w:rPr>
          <w:sz w:val="28"/>
          <w:u w:val="none"/>
        </w:rPr>
      </w:r>
    </w:p>
    <w:tbl>
      <w:tblPr>
        <w:tblW w:w="8760" w:type="dxa"/>
        <w:jc w:val="center"/>
        <w:tblInd w:w="0" w:type="dxa"/>
        <w:tblLayout w:type="fixed"/>
        <w:tblCellMar>
          <w:top w:w="15" w:type="dxa"/>
          <w:start w:w="15" w:type="dxa"/>
          <w:bottom w:w="15" w:type="dxa"/>
          <w:end w:w="15" w:type="dxa"/>
        </w:tblCellMar>
      </w:tblPr>
      <w:tblGrid>
        <w:gridCol w:w="1052"/>
        <w:gridCol w:w="1670"/>
        <w:gridCol w:w="1304"/>
        <w:gridCol w:w="4564"/>
        <w:gridCol w:w="170"/>
      </w:tblGrid>
      <w:tr>
        <w:trPr/>
        <w:tc>
          <w:tcPr>
            <w:tcW w:w="8760" w:type="dxa"/>
            <w:gridSpan w:val="5"/>
            <w:tcBorders/>
            <w:vAlign w:val="center"/>
          </w:tcPr>
          <w:p>
            <w:pPr>
              <w:pStyle w:val="Heading2"/>
              <w:spacing w:before="100" w:after="100"/>
              <w:ind w:hanging="0" w:start="0"/>
              <w:jc w:val="center"/>
              <w:rPr/>
            </w:pPr>
            <w:r>
              <w:rPr/>
              <w:t>Saffir-Simpson Scale at a Glance</w:t>
            </w:r>
          </w:p>
        </w:tc>
      </w:tr>
      <w:tr>
        <w:trPr/>
        <w:tc>
          <w:tcPr>
            <w:tcW w:w="1052" w:type="dxa"/>
            <w:tcBorders>
              <w:top w:val="thickThinLargeGap" w:sz="6" w:space="0" w:color="800000"/>
              <w:start w:val="thickThinLargeGap" w:sz="6" w:space="0" w:color="800000"/>
              <w:bottom w:val="thickThinLargeGap" w:sz="6" w:space="0" w:color="800000"/>
              <w:end w:val="thickThinLargeGap" w:sz="6" w:space="0" w:color="800000"/>
            </w:tcBorders>
            <w:vAlign w:val="center"/>
          </w:tcPr>
          <w:p>
            <w:pPr>
              <w:pStyle w:val="Normal"/>
              <w:jc w:val="center"/>
              <w:rPr>
                <w:rFonts w:ascii="Arial Unicode MS" w:hAnsi="Arial Unicode MS" w:eastAsia="Arial Unicode MS" w:cs="Arial Unicode MS"/>
                <w:b/>
                <w:bCs/>
                <w:color w:val="000080"/>
              </w:rPr>
            </w:pPr>
            <w:r>
              <w:rPr>
                <w:b/>
                <w:bCs/>
              </w:rPr>
              <w:t>Category</w:t>
            </w:r>
          </w:p>
        </w:tc>
        <w:tc>
          <w:tcPr>
            <w:tcW w:w="1670" w:type="dxa"/>
            <w:tcBorders>
              <w:top w:val="thickThinLargeGap" w:sz="6" w:space="0" w:color="800000"/>
              <w:start w:val="thickThinLargeGap" w:sz="6" w:space="0" w:color="800000"/>
              <w:bottom w:val="thickThinLargeGap" w:sz="6" w:space="0" w:color="800000"/>
              <w:end w:val="thickThinLargeGap" w:sz="6" w:space="0" w:color="800000"/>
            </w:tcBorders>
            <w:vAlign w:val="center"/>
          </w:tcPr>
          <w:p>
            <w:pPr>
              <w:pStyle w:val="Normal"/>
              <w:jc w:val="center"/>
              <w:rPr>
                <w:rFonts w:ascii="Arial Unicode MS" w:hAnsi="Arial Unicode MS" w:eastAsia="Arial Unicode MS" w:cs="Arial Unicode MS"/>
                <w:b/>
                <w:bCs/>
                <w:color w:val="000080"/>
              </w:rPr>
            </w:pPr>
            <w:r>
              <w:rPr>
                <w:b/>
                <w:bCs/>
              </w:rPr>
              <w:t>Sustained Winds</w:t>
              <w:br/>
              <w:t>(MPH)</w:t>
            </w:r>
          </w:p>
        </w:tc>
        <w:tc>
          <w:tcPr>
            <w:tcW w:w="1304" w:type="dxa"/>
            <w:tcBorders>
              <w:top w:val="thickThinLargeGap" w:sz="6" w:space="0" w:color="800000"/>
              <w:start w:val="thickThinLargeGap" w:sz="6" w:space="0" w:color="800000"/>
              <w:bottom w:val="thickThinLargeGap" w:sz="6" w:space="0" w:color="800000"/>
              <w:end w:val="thickThinLargeGap" w:sz="6" w:space="0" w:color="800000"/>
            </w:tcBorders>
            <w:vAlign w:val="center"/>
          </w:tcPr>
          <w:p>
            <w:pPr>
              <w:pStyle w:val="Normal"/>
              <w:jc w:val="center"/>
              <w:rPr>
                <w:rFonts w:ascii="Arial Unicode MS" w:hAnsi="Arial Unicode MS" w:eastAsia="Arial Unicode MS" w:cs="Arial Unicode MS"/>
                <w:b/>
                <w:bCs/>
                <w:color w:val="000080"/>
              </w:rPr>
            </w:pPr>
            <w:r>
              <w:rPr>
                <w:b/>
                <w:bCs/>
              </w:rPr>
              <w:t>Description</w:t>
            </w:r>
          </w:p>
        </w:tc>
        <w:tc>
          <w:tcPr>
            <w:tcW w:w="4564" w:type="dxa"/>
            <w:tcBorders>
              <w:top w:val="thickThinLargeGap" w:sz="6" w:space="0" w:color="800000"/>
              <w:start w:val="thickThinLargeGap" w:sz="6" w:space="0" w:color="800000"/>
              <w:bottom w:val="thickThinLargeGap" w:sz="6" w:space="0" w:color="800000"/>
              <w:end w:val="thickThinLargeGap" w:sz="6" w:space="0" w:color="800000"/>
            </w:tcBorders>
            <w:vAlign w:val="center"/>
          </w:tcPr>
          <w:p>
            <w:pPr>
              <w:pStyle w:val="Normal"/>
              <w:jc w:val="center"/>
              <w:rPr>
                <w:rFonts w:ascii="Arial Unicode MS" w:hAnsi="Arial Unicode MS" w:eastAsia="Arial Unicode MS" w:cs="Arial Unicode MS"/>
                <w:b/>
                <w:bCs/>
                <w:color w:val="000080"/>
              </w:rPr>
            </w:pPr>
            <w:r>
              <w:rPr>
                <w:b/>
                <w:bCs/>
              </w:rPr>
              <w:t xml:space="preserve">Examples </w:t>
            </w:r>
          </w:p>
        </w:tc>
        <w:tc>
          <w:tcPr>
            <w:tcW w:w="170" w:type="dxa"/>
            <w:tcBorders>
              <w:top w:val="thickThinLargeGap" w:sz="6" w:space="0" w:color="800000"/>
              <w:start w:val="thickThinLargeGap" w:sz="6" w:space="0" w:color="800000"/>
              <w:bottom w:val="thickThinLargeGap" w:sz="6" w:space="0" w:color="800000"/>
              <w:end w:val="thickThinLargeGap" w:sz="6" w:space="0" w:color="800000"/>
            </w:tcBorders>
            <w:vAlign w:val="center"/>
          </w:tcPr>
          <w:p>
            <w:pPr>
              <w:pStyle w:val="Normal"/>
              <w:snapToGrid w:val="false"/>
              <w:jc w:val="center"/>
              <w:rPr>
                <w:rFonts w:ascii="Arial Unicode MS" w:hAnsi="Arial Unicode MS" w:eastAsia="Arial Unicode MS" w:cs="Arial Unicode MS"/>
                <w:b/>
                <w:bCs/>
                <w:color w:val="000080"/>
              </w:rPr>
            </w:pPr>
            <w:r>
              <w:rPr>
                <w:rFonts w:eastAsia="Arial Unicode MS" w:cs="Arial Unicode MS" w:ascii="Arial Unicode MS" w:hAnsi="Arial Unicode MS"/>
                <w:b/>
                <w:bCs/>
                <w:color w:val="000080"/>
              </w:rPr>
            </w:r>
          </w:p>
        </w:tc>
      </w:tr>
      <w:tr>
        <w:trPr/>
        <w:tc>
          <w:tcPr>
            <w:tcW w:w="1052" w:type="dxa"/>
            <w:tcBorders>
              <w:top w:val="thickThinLargeGap" w:sz="6" w:space="0" w:color="800000"/>
              <w:start w:val="thickThinLargeGap" w:sz="6" w:space="0" w:color="800000"/>
              <w:bottom w:val="thickThinLargeGap" w:sz="6" w:space="0" w:color="800000"/>
              <w:end w:val="thickThinLargeGap" w:sz="6" w:space="0" w:color="800000"/>
            </w:tcBorders>
            <w:vAlign w:val="center"/>
          </w:tcPr>
          <w:p>
            <w:pPr>
              <w:pStyle w:val="Normal"/>
              <w:jc w:val="center"/>
              <w:rPr>
                <w:rFonts w:ascii="Arial Unicode MS" w:hAnsi="Arial Unicode MS" w:eastAsia="Arial Unicode MS" w:cs="Arial Unicode MS"/>
                <w:color w:val="000080"/>
              </w:rPr>
            </w:pPr>
            <w:r>
              <w:rPr/>
              <w:t>1</w:t>
            </w:r>
          </w:p>
        </w:tc>
        <w:tc>
          <w:tcPr>
            <w:tcW w:w="1670" w:type="dxa"/>
            <w:tcBorders>
              <w:top w:val="thickThinLargeGap" w:sz="6" w:space="0" w:color="800000"/>
              <w:start w:val="thickThinLargeGap" w:sz="6" w:space="0" w:color="800000"/>
              <w:bottom w:val="thickThinLargeGap" w:sz="6" w:space="0" w:color="800000"/>
              <w:end w:val="thickThinLargeGap" w:sz="6" w:space="0" w:color="800000"/>
            </w:tcBorders>
            <w:vAlign w:val="center"/>
          </w:tcPr>
          <w:p>
            <w:pPr>
              <w:pStyle w:val="Normal"/>
              <w:jc w:val="center"/>
              <w:rPr>
                <w:rFonts w:ascii="Arial Unicode MS" w:hAnsi="Arial Unicode MS" w:eastAsia="Arial Unicode MS" w:cs="Arial Unicode MS"/>
                <w:color w:val="000080"/>
              </w:rPr>
            </w:pPr>
            <w:r>
              <w:rPr/>
              <w:t>74-95</w:t>
            </w:r>
          </w:p>
        </w:tc>
        <w:tc>
          <w:tcPr>
            <w:tcW w:w="1304" w:type="dxa"/>
            <w:tcBorders>
              <w:top w:val="thickThinLargeGap" w:sz="6" w:space="0" w:color="800000"/>
              <w:start w:val="thickThinLargeGap" w:sz="6" w:space="0" w:color="800000"/>
              <w:bottom w:val="thickThinLargeGap" w:sz="6" w:space="0" w:color="800000"/>
              <w:end w:val="thickThinLargeGap" w:sz="6" w:space="0" w:color="800000"/>
            </w:tcBorders>
            <w:vAlign w:val="center"/>
          </w:tcPr>
          <w:p>
            <w:pPr>
              <w:pStyle w:val="Normal"/>
              <w:rPr>
                <w:rFonts w:ascii="Arial Unicode MS" w:hAnsi="Arial Unicode MS" w:eastAsia="Arial Unicode MS" w:cs="Arial Unicode MS"/>
                <w:color w:val="000080"/>
              </w:rPr>
            </w:pPr>
            <w:r>
              <w:rPr/>
              <w:t>Minimal</w:t>
            </w:r>
          </w:p>
        </w:tc>
        <w:tc>
          <w:tcPr>
            <w:tcW w:w="4564" w:type="dxa"/>
            <w:tcBorders>
              <w:top w:val="thickThinLargeGap" w:sz="6" w:space="0" w:color="800000"/>
              <w:start w:val="thickThinLargeGap" w:sz="6" w:space="0" w:color="800000"/>
              <w:bottom w:val="thickThinLargeGap" w:sz="6" w:space="0" w:color="800000"/>
              <w:end w:val="thickThinLargeGap" w:sz="6" w:space="0" w:color="800000"/>
            </w:tcBorders>
            <w:vAlign w:val="center"/>
          </w:tcPr>
          <w:p>
            <w:pPr>
              <w:pStyle w:val="Normal"/>
              <w:rPr>
                <w:rFonts w:ascii="Arial Unicode MS" w:hAnsi="Arial Unicode MS" w:eastAsia="Arial Unicode MS" w:cs="Arial Unicode MS"/>
                <w:color w:val="000080"/>
              </w:rPr>
            </w:pPr>
            <w:r>
              <w:rPr/>
              <w:t>Florence (1988) LA | Charley (1988) NC</w:t>
            </w:r>
          </w:p>
        </w:tc>
        <w:tc>
          <w:tcPr>
            <w:tcW w:w="170" w:type="dxa"/>
            <w:tcBorders>
              <w:end w:val="thickThinLargeGap" w:sz="24" w:space="0" w:color="C0C0C0"/>
            </w:tcBorders>
            <w:vAlign w:val="center"/>
          </w:tcPr>
          <w:p>
            <w:pPr>
              <w:pStyle w:val="Normal"/>
              <w:snapToGrid w:val="false"/>
              <w:rPr>
                <w:rFonts w:ascii="Arial Unicode MS" w:hAnsi="Arial Unicode MS" w:eastAsia="Arial Unicode MS" w:cs="Arial Unicode MS"/>
                <w:color w:val="000080"/>
                <w:sz w:val="20"/>
                <w:szCs w:val="20"/>
              </w:rPr>
            </w:pPr>
            <w:r>
              <w:rPr>
                <w:rFonts w:eastAsia="Arial Unicode MS" w:cs="Arial Unicode MS" w:ascii="Arial Unicode MS" w:hAnsi="Arial Unicode MS"/>
                <w:color w:val="000080"/>
                <w:sz w:val="20"/>
                <w:szCs w:val="20"/>
              </w:rPr>
            </w:r>
          </w:p>
        </w:tc>
      </w:tr>
      <w:tr>
        <w:trPr/>
        <w:tc>
          <w:tcPr>
            <w:tcW w:w="1052" w:type="dxa"/>
            <w:tcBorders>
              <w:top w:val="thickThinLargeGap" w:sz="6" w:space="0" w:color="800000"/>
              <w:start w:val="thickThinLargeGap" w:sz="6" w:space="0" w:color="800000"/>
              <w:bottom w:val="thickThinLargeGap" w:sz="6" w:space="0" w:color="800000"/>
              <w:end w:val="thickThinLargeGap" w:sz="6" w:space="0" w:color="800000"/>
            </w:tcBorders>
            <w:vAlign w:val="center"/>
          </w:tcPr>
          <w:p>
            <w:pPr>
              <w:pStyle w:val="Normal"/>
              <w:jc w:val="center"/>
              <w:rPr>
                <w:rFonts w:ascii="Arial Unicode MS" w:hAnsi="Arial Unicode MS" w:eastAsia="Arial Unicode MS" w:cs="Arial Unicode MS"/>
                <w:color w:val="000080"/>
              </w:rPr>
            </w:pPr>
            <w:r>
              <w:rPr/>
              <w:t>2</w:t>
            </w:r>
          </w:p>
        </w:tc>
        <w:tc>
          <w:tcPr>
            <w:tcW w:w="1670" w:type="dxa"/>
            <w:tcBorders>
              <w:top w:val="thickThinLargeGap" w:sz="6" w:space="0" w:color="800000"/>
              <w:start w:val="thickThinLargeGap" w:sz="6" w:space="0" w:color="800000"/>
              <w:bottom w:val="thickThinLargeGap" w:sz="6" w:space="0" w:color="800000"/>
              <w:end w:val="thickThinLargeGap" w:sz="6" w:space="0" w:color="800000"/>
            </w:tcBorders>
            <w:vAlign w:val="center"/>
          </w:tcPr>
          <w:p>
            <w:pPr>
              <w:pStyle w:val="Normal"/>
              <w:jc w:val="center"/>
              <w:rPr>
                <w:rFonts w:ascii="Arial Unicode MS" w:hAnsi="Arial Unicode MS" w:eastAsia="Arial Unicode MS" w:cs="Arial Unicode MS"/>
                <w:color w:val="000080"/>
              </w:rPr>
            </w:pPr>
            <w:r>
              <w:rPr/>
              <w:t>96-110</w:t>
            </w:r>
          </w:p>
        </w:tc>
        <w:tc>
          <w:tcPr>
            <w:tcW w:w="1304" w:type="dxa"/>
            <w:tcBorders>
              <w:top w:val="thickThinLargeGap" w:sz="6" w:space="0" w:color="800000"/>
              <w:start w:val="thickThinLargeGap" w:sz="6" w:space="0" w:color="800000"/>
              <w:bottom w:val="thickThinLargeGap" w:sz="6" w:space="0" w:color="800000"/>
              <w:end w:val="thickThinLargeGap" w:sz="6" w:space="0" w:color="800000"/>
            </w:tcBorders>
            <w:vAlign w:val="center"/>
          </w:tcPr>
          <w:p>
            <w:pPr>
              <w:pStyle w:val="Normal"/>
              <w:rPr>
                <w:rFonts w:ascii="Arial Unicode MS" w:hAnsi="Arial Unicode MS" w:eastAsia="Arial Unicode MS" w:cs="Arial Unicode MS"/>
                <w:color w:val="000080"/>
              </w:rPr>
            </w:pPr>
            <w:r>
              <w:rPr/>
              <w:t>Moderate</w:t>
            </w:r>
          </w:p>
        </w:tc>
        <w:tc>
          <w:tcPr>
            <w:tcW w:w="4564" w:type="dxa"/>
            <w:tcBorders>
              <w:top w:val="thickThinLargeGap" w:sz="6" w:space="0" w:color="800000"/>
              <w:start w:val="thickThinLargeGap" w:sz="6" w:space="0" w:color="800000"/>
              <w:bottom w:val="thickThinLargeGap" w:sz="6" w:space="0" w:color="800000"/>
              <w:end w:val="thickThinLargeGap" w:sz="6" w:space="0" w:color="800000"/>
            </w:tcBorders>
            <w:vAlign w:val="center"/>
          </w:tcPr>
          <w:p>
            <w:pPr>
              <w:pStyle w:val="Normal"/>
              <w:rPr>
                <w:rFonts w:ascii="Arial Unicode MS" w:hAnsi="Arial Unicode MS" w:eastAsia="Arial Unicode MS" w:cs="Arial Unicode MS"/>
                <w:color w:val="000080"/>
              </w:rPr>
            </w:pPr>
            <w:r>
              <w:rPr/>
              <w:t>Kate 1985 FL | Bob 1991 NY</w:t>
            </w:r>
          </w:p>
        </w:tc>
        <w:tc>
          <w:tcPr>
            <w:tcW w:w="170" w:type="dxa"/>
            <w:tcBorders>
              <w:end w:val="thickThinLargeGap" w:sz="24" w:space="0" w:color="C0C0C0"/>
            </w:tcBorders>
            <w:vAlign w:val="center"/>
          </w:tcPr>
          <w:p>
            <w:pPr>
              <w:pStyle w:val="Normal"/>
              <w:snapToGrid w:val="false"/>
              <w:rPr>
                <w:rFonts w:ascii="Arial Unicode MS" w:hAnsi="Arial Unicode MS" w:eastAsia="Arial Unicode MS" w:cs="Arial Unicode MS"/>
                <w:color w:val="000080"/>
                <w:sz w:val="20"/>
                <w:szCs w:val="20"/>
              </w:rPr>
            </w:pPr>
            <w:r>
              <w:rPr>
                <w:rFonts w:eastAsia="Arial Unicode MS" w:cs="Arial Unicode MS" w:ascii="Arial Unicode MS" w:hAnsi="Arial Unicode MS"/>
                <w:color w:val="000080"/>
                <w:sz w:val="20"/>
                <w:szCs w:val="20"/>
              </w:rPr>
            </w:r>
          </w:p>
        </w:tc>
      </w:tr>
      <w:tr>
        <w:trPr/>
        <w:tc>
          <w:tcPr>
            <w:tcW w:w="1052" w:type="dxa"/>
            <w:tcBorders>
              <w:top w:val="thickThinLargeGap" w:sz="6" w:space="0" w:color="800000"/>
              <w:start w:val="thickThinLargeGap" w:sz="6" w:space="0" w:color="800000"/>
              <w:bottom w:val="thickThinLargeGap" w:sz="6" w:space="0" w:color="800000"/>
              <w:end w:val="thickThinLargeGap" w:sz="6" w:space="0" w:color="800000"/>
            </w:tcBorders>
            <w:vAlign w:val="center"/>
          </w:tcPr>
          <w:p>
            <w:pPr>
              <w:pStyle w:val="Normal"/>
              <w:jc w:val="center"/>
              <w:rPr>
                <w:rFonts w:ascii="Arial Unicode MS" w:hAnsi="Arial Unicode MS" w:eastAsia="Arial Unicode MS" w:cs="Arial Unicode MS"/>
                <w:color w:val="000080"/>
              </w:rPr>
            </w:pPr>
            <w:r>
              <w:rPr/>
              <w:t>3</w:t>
            </w:r>
          </w:p>
        </w:tc>
        <w:tc>
          <w:tcPr>
            <w:tcW w:w="1670" w:type="dxa"/>
            <w:tcBorders>
              <w:top w:val="thickThinLargeGap" w:sz="6" w:space="0" w:color="800000"/>
              <w:start w:val="thickThinLargeGap" w:sz="6" w:space="0" w:color="800000"/>
              <w:bottom w:val="thickThinLargeGap" w:sz="6" w:space="0" w:color="800000"/>
              <w:end w:val="thickThinLargeGap" w:sz="6" w:space="0" w:color="800000"/>
            </w:tcBorders>
            <w:vAlign w:val="center"/>
          </w:tcPr>
          <w:p>
            <w:pPr>
              <w:pStyle w:val="Normal"/>
              <w:jc w:val="center"/>
              <w:rPr>
                <w:rFonts w:ascii="Arial Unicode MS" w:hAnsi="Arial Unicode MS" w:eastAsia="Arial Unicode MS" w:cs="Arial Unicode MS"/>
                <w:color w:val="000080"/>
              </w:rPr>
            </w:pPr>
            <w:r>
              <w:rPr/>
              <w:t>111-130</w:t>
            </w:r>
          </w:p>
        </w:tc>
        <w:tc>
          <w:tcPr>
            <w:tcW w:w="1304" w:type="dxa"/>
            <w:tcBorders>
              <w:top w:val="thickThinLargeGap" w:sz="6" w:space="0" w:color="800000"/>
              <w:start w:val="thickThinLargeGap" w:sz="6" w:space="0" w:color="800000"/>
              <w:bottom w:val="thickThinLargeGap" w:sz="6" w:space="0" w:color="800000"/>
              <w:end w:val="thickThinLargeGap" w:sz="6" w:space="0" w:color="800000"/>
            </w:tcBorders>
            <w:vAlign w:val="center"/>
          </w:tcPr>
          <w:p>
            <w:pPr>
              <w:pStyle w:val="Normal"/>
              <w:rPr>
                <w:rFonts w:ascii="Arial Unicode MS" w:hAnsi="Arial Unicode MS" w:eastAsia="Arial Unicode MS" w:cs="Arial Unicode MS"/>
                <w:color w:val="000080"/>
              </w:rPr>
            </w:pPr>
            <w:r>
              <w:rPr/>
              <w:t>Extensive</w:t>
            </w:r>
          </w:p>
        </w:tc>
        <w:tc>
          <w:tcPr>
            <w:tcW w:w="4564" w:type="dxa"/>
            <w:tcBorders>
              <w:top w:val="thickThinLargeGap" w:sz="6" w:space="0" w:color="800000"/>
              <w:start w:val="thickThinLargeGap" w:sz="6" w:space="0" w:color="800000"/>
              <w:bottom w:val="thickThinLargeGap" w:sz="6" w:space="0" w:color="800000"/>
              <w:end w:val="thickThinLargeGap" w:sz="6" w:space="0" w:color="800000"/>
            </w:tcBorders>
            <w:vAlign w:val="center"/>
          </w:tcPr>
          <w:p>
            <w:pPr>
              <w:pStyle w:val="Normal"/>
              <w:rPr>
                <w:rFonts w:ascii="Arial Unicode MS" w:hAnsi="Arial Unicode MS" w:eastAsia="Arial Unicode MS" w:cs="Arial Unicode MS"/>
                <w:color w:val="000080"/>
              </w:rPr>
            </w:pPr>
            <w:r>
              <w:rPr/>
              <w:t>Alicia 1983 TX</w:t>
            </w:r>
          </w:p>
        </w:tc>
        <w:tc>
          <w:tcPr>
            <w:tcW w:w="170" w:type="dxa"/>
            <w:tcBorders>
              <w:end w:val="thickThinLargeGap" w:sz="24" w:space="0" w:color="C0C0C0"/>
            </w:tcBorders>
            <w:vAlign w:val="center"/>
          </w:tcPr>
          <w:p>
            <w:pPr>
              <w:pStyle w:val="Normal"/>
              <w:snapToGrid w:val="false"/>
              <w:rPr>
                <w:rFonts w:ascii="Arial Unicode MS" w:hAnsi="Arial Unicode MS" w:eastAsia="Arial Unicode MS" w:cs="Arial Unicode MS"/>
                <w:color w:val="000080"/>
                <w:sz w:val="20"/>
                <w:szCs w:val="20"/>
              </w:rPr>
            </w:pPr>
            <w:r>
              <w:rPr>
                <w:rFonts w:eastAsia="Arial Unicode MS" w:cs="Arial Unicode MS" w:ascii="Arial Unicode MS" w:hAnsi="Arial Unicode MS"/>
                <w:color w:val="000080"/>
                <w:sz w:val="20"/>
                <w:szCs w:val="20"/>
              </w:rPr>
            </w:r>
          </w:p>
        </w:tc>
      </w:tr>
      <w:tr>
        <w:trPr/>
        <w:tc>
          <w:tcPr>
            <w:tcW w:w="1052" w:type="dxa"/>
            <w:tcBorders>
              <w:top w:val="thickThinLargeGap" w:sz="6" w:space="0" w:color="800000"/>
              <w:start w:val="thickThinLargeGap" w:sz="6" w:space="0" w:color="800000"/>
              <w:bottom w:val="thickThinLargeGap" w:sz="6" w:space="0" w:color="800000"/>
              <w:end w:val="thickThinLargeGap" w:sz="6" w:space="0" w:color="800000"/>
            </w:tcBorders>
            <w:vAlign w:val="center"/>
          </w:tcPr>
          <w:p>
            <w:pPr>
              <w:pStyle w:val="Normal"/>
              <w:snapToGrid w:val="false"/>
              <w:rPr>
                <w:rFonts w:ascii="Arial Unicode MS" w:hAnsi="Arial Unicode MS" w:eastAsia="Arial Unicode MS" w:cs="Arial Unicode MS"/>
                <w:color w:val="000080"/>
                <w:sz w:val="20"/>
                <w:szCs w:val="20"/>
              </w:rPr>
            </w:pPr>
            <w:r>
              <w:rPr>
                <w:rFonts w:eastAsia="Arial Unicode MS" w:cs="Arial Unicode MS" w:ascii="Arial Unicode MS" w:hAnsi="Arial Unicode MS"/>
                <w:color w:val="000080"/>
                <w:sz w:val="20"/>
                <w:szCs w:val="20"/>
              </w:rPr>
            </w:r>
          </w:p>
        </w:tc>
        <w:tc>
          <w:tcPr>
            <w:tcW w:w="1670" w:type="dxa"/>
            <w:tcBorders/>
            <w:vAlign w:val="center"/>
          </w:tcPr>
          <w:p>
            <w:pPr>
              <w:pStyle w:val="Normal"/>
              <w:snapToGrid w:val="false"/>
              <w:rPr>
                <w:rFonts w:ascii="Arial Unicode MS" w:hAnsi="Arial Unicode MS" w:eastAsia="Arial Unicode MS" w:cs="Arial Unicode MS"/>
                <w:color w:val="000080"/>
                <w:sz w:val="20"/>
                <w:szCs w:val="20"/>
              </w:rPr>
            </w:pPr>
            <w:r>
              <w:rPr>
                <w:rFonts w:eastAsia="Arial Unicode MS" w:cs="Arial Unicode MS" w:ascii="Arial Unicode MS" w:hAnsi="Arial Unicode MS"/>
                <w:color w:val="000080"/>
                <w:sz w:val="20"/>
                <w:szCs w:val="20"/>
              </w:rPr>
            </w:r>
          </w:p>
        </w:tc>
        <w:tc>
          <w:tcPr>
            <w:tcW w:w="1304" w:type="dxa"/>
            <w:tcBorders/>
            <w:vAlign w:val="center"/>
          </w:tcPr>
          <w:p>
            <w:pPr>
              <w:pStyle w:val="Normal"/>
              <w:snapToGrid w:val="false"/>
              <w:rPr>
                <w:sz w:val="20"/>
                <w:szCs w:val="20"/>
              </w:rPr>
            </w:pPr>
            <w:r>
              <w:rPr>
                <w:sz w:val="20"/>
                <w:szCs w:val="20"/>
              </w:rPr>
            </w:r>
          </w:p>
        </w:tc>
        <w:tc>
          <w:tcPr>
            <w:tcW w:w="4564" w:type="dxa"/>
            <w:tcBorders/>
            <w:vAlign w:val="center"/>
          </w:tcPr>
          <w:p>
            <w:pPr>
              <w:pStyle w:val="Normal"/>
              <w:snapToGrid w:val="false"/>
              <w:rPr>
                <w:sz w:val="20"/>
                <w:szCs w:val="20"/>
              </w:rPr>
            </w:pPr>
            <w:r>
              <w:rPr>
                <w:sz w:val="20"/>
                <w:szCs w:val="20"/>
              </w:rPr>
            </w:r>
          </w:p>
        </w:tc>
        <w:tc>
          <w:tcPr>
            <w:tcW w:w="170" w:type="dxa"/>
            <w:tcBorders>
              <w:end w:val="thickThinLargeGap" w:sz="24" w:space="0" w:color="C0C0C0"/>
            </w:tcBorders>
            <w:vAlign w:val="center"/>
          </w:tcPr>
          <w:p>
            <w:pPr>
              <w:pStyle w:val="Normal"/>
              <w:snapToGrid w:val="false"/>
              <w:rPr>
                <w:sz w:val="20"/>
                <w:szCs w:val="20"/>
              </w:rPr>
            </w:pPr>
            <w:r>
              <w:rPr>
                <w:sz w:val="20"/>
                <w:szCs w:val="20"/>
              </w:rPr>
            </w:r>
          </w:p>
        </w:tc>
      </w:tr>
      <w:tr>
        <w:trPr/>
        <w:tc>
          <w:tcPr>
            <w:tcW w:w="1052" w:type="dxa"/>
            <w:tcBorders>
              <w:top w:val="thickThinLargeGap" w:sz="6" w:space="0" w:color="800000"/>
              <w:start w:val="thickThinLargeGap" w:sz="6" w:space="0" w:color="800000"/>
              <w:bottom w:val="thickThinLargeGap" w:sz="6" w:space="0" w:color="800000"/>
              <w:end w:val="thickThinLargeGap" w:sz="6" w:space="0" w:color="800000"/>
            </w:tcBorders>
            <w:vAlign w:val="center"/>
          </w:tcPr>
          <w:p>
            <w:pPr>
              <w:pStyle w:val="Normal"/>
              <w:jc w:val="center"/>
              <w:rPr>
                <w:rFonts w:ascii="Arial Unicode MS" w:hAnsi="Arial Unicode MS" w:eastAsia="Arial Unicode MS" w:cs="Arial Unicode MS"/>
                <w:color w:val="000080"/>
              </w:rPr>
            </w:pPr>
            <w:r>
              <w:rPr/>
              <w:t>4</w:t>
            </w:r>
          </w:p>
        </w:tc>
        <w:tc>
          <w:tcPr>
            <w:tcW w:w="1670" w:type="dxa"/>
            <w:tcBorders>
              <w:top w:val="thickThinLargeGap" w:sz="6" w:space="0" w:color="800000"/>
              <w:start w:val="thickThinLargeGap" w:sz="6" w:space="0" w:color="800000"/>
              <w:bottom w:val="thickThinLargeGap" w:sz="6" w:space="0" w:color="800000"/>
              <w:end w:val="thickThinLargeGap" w:sz="6" w:space="0" w:color="800000"/>
            </w:tcBorders>
            <w:vAlign w:val="center"/>
          </w:tcPr>
          <w:p>
            <w:pPr>
              <w:pStyle w:val="Normal"/>
              <w:jc w:val="center"/>
              <w:rPr>
                <w:rFonts w:ascii="Arial Unicode MS" w:hAnsi="Arial Unicode MS" w:eastAsia="Arial Unicode MS" w:cs="Arial Unicode MS"/>
                <w:color w:val="000080"/>
              </w:rPr>
            </w:pPr>
            <w:r>
              <w:rPr/>
              <w:t>131-155</w:t>
            </w:r>
          </w:p>
        </w:tc>
        <w:tc>
          <w:tcPr>
            <w:tcW w:w="1304" w:type="dxa"/>
            <w:tcBorders>
              <w:top w:val="thickThinLargeGap" w:sz="6" w:space="0" w:color="800000"/>
              <w:start w:val="thickThinLargeGap" w:sz="6" w:space="0" w:color="800000"/>
              <w:bottom w:val="thickThinLargeGap" w:sz="6" w:space="0" w:color="800000"/>
              <w:end w:val="thickThinLargeGap" w:sz="6" w:space="0" w:color="800000"/>
            </w:tcBorders>
            <w:vAlign w:val="center"/>
          </w:tcPr>
          <w:p>
            <w:pPr>
              <w:pStyle w:val="Normal"/>
              <w:rPr>
                <w:rFonts w:ascii="Arial Unicode MS" w:hAnsi="Arial Unicode MS" w:eastAsia="Arial Unicode MS" w:cs="Arial Unicode MS"/>
                <w:color w:val="000080"/>
              </w:rPr>
            </w:pPr>
            <w:r>
              <w:rPr/>
              <w:t>Extreme</w:t>
            </w:r>
          </w:p>
        </w:tc>
        <w:tc>
          <w:tcPr>
            <w:tcW w:w="4564" w:type="dxa"/>
            <w:tcBorders>
              <w:top w:val="thickThinLargeGap" w:sz="6" w:space="0" w:color="800000"/>
              <w:start w:val="thickThinLargeGap" w:sz="6" w:space="0" w:color="800000"/>
              <w:bottom w:val="thickThinLargeGap" w:sz="6" w:space="0" w:color="800000"/>
              <w:end w:val="thickThinLargeGap" w:sz="6" w:space="0" w:color="800000"/>
            </w:tcBorders>
            <w:vAlign w:val="center"/>
          </w:tcPr>
          <w:p>
            <w:pPr>
              <w:pStyle w:val="Normal"/>
              <w:rPr>
                <w:rFonts w:ascii="Arial Unicode MS" w:hAnsi="Arial Unicode MS" w:eastAsia="Arial Unicode MS" w:cs="Arial Unicode MS"/>
                <w:color w:val="000080"/>
              </w:rPr>
            </w:pPr>
            <w:r>
              <w:rPr/>
              <w:t>Andrew 1992 FL | Hugo 1989 NC</w:t>
            </w:r>
          </w:p>
        </w:tc>
        <w:tc>
          <w:tcPr>
            <w:tcW w:w="170" w:type="dxa"/>
            <w:tcBorders>
              <w:end w:val="thickThinLargeGap" w:sz="24" w:space="0" w:color="C0C0C0"/>
            </w:tcBorders>
            <w:vAlign w:val="center"/>
          </w:tcPr>
          <w:p>
            <w:pPr>
              <w:pStyle w:val="Normal"/>
              <w:snapToGrid w:val="false"/>
              <w:rPr>
                <w:rFonts w:ascii="Arial Unicode MS" w:hAnsi="Arial Unicode MS" w:eastAsia="Arial Unicode MS" w:cs="Arial Unicode MS"/>
                <w:color w:val="000080"/>
                <w:sz w:val="20"/>
                <w:szCs w:val="20"/>
              </w:rPr>
            </w:pPr>
            <w:r>
              <w:rPr>
                <w:rFonts w:eastAsia="Arial Unicode MS" w:cs="Arial Unicode MS" w:ascii="Arial Unicode MS" w:hAnsi="Arial Unicode MS"/>
                <w:color w:val="000080"/>
                <w:sz w:val="20"/>
                <w:szCs w:val="20"/>
              </w:rPr>
            </w:r>
          </w:p>
        </w:tc>
      </w:tr>
      <w:tr>
        <w:trPr/>
        <w:tc>
          <w:tcPr>
            <w:tcW w:w="1052" w:type="dxa"/>
            <w:tcBorders>
              <w:top w:val="thickThinLargeGap" w:sz="6" w:space="0" w:color="800000"/>
              <w:start w:val="thickThinLargeGap" w:sz="6" w:space="0" w:color="800000"/>
              <w:bottom w:val="thickThinLargeGap" w:sz="6" w:space="0" w:color="800000"/>
              <w:end w:val="thickThinLargeGap" w:sz="6" w:space="0" w:color="800000"/>
            </w:tcBorders>
            <w:vAlign w:val="center"/>
          </w:tcPr>
          <w:p>
            <w:pPr>
              <w:pStyle w:val="Normal"/>
              <w:jc w:val="center"/>
              <w:rPr>
                <w:rFonts w:ascii="Arial Unicode MS" w:hAnsi="Arial Unicode MS" w:eastAsia="Arial Unicode MS" w:cs="Arial Unicode MS"/>
                <w:color w:val="000080"/>
              </w:rPr>
            </w:pPr>
            <w:r>
              <w:rPr/>
              <w:t>5</w:t>
            </w:r>
          </w:p>
        </w:tc>
        <w:tc>
          <w:tcPr>
            <w:tcW w:w="1670" w:type="dxa"/>
            <w:tcBorders>
              <w:top w:val="thickThinLargeGap" w:sz="6" w:space="0" w:color="800000"/>
              <w:start w:val="thickThinLargeGap" w:sz="6" w:space="0" w:color="800000"/>
              <w:bottom w:val="thickThinLargeGap" w:sz="6" w:space="0" w:color="800000"/>
              <w:end w:val="thickThinLargeGap" w:sz="6" w:space="0" w:color="800000"/>
            </w:tcBorders>
            <w:vAlign w:val="center"/>
          </w:tcPr>
          <w:p>
            <w:pPr>
              <w:pStyle w:val="Normal"/>
              <w:jc w:val="center"/>
              <w:rPr>
                <w:rFonts w:ascii="Arial Unicode MS" w:hAnsi="Arial Unicode MS" w:eastAsia="Arial Unicode MS" w:cs="Arial Unicode MS"/>
                <w:color w:val="000080"/>
              </w:rPr>
            </w:pPr>
            <w:r>
              <w:rPr/>
              <w:t>&gt;155</w:t>
            </w:r>
          </w:p>
        </w:tc>
        <w:tc>
          <w:tcPr>
            <w:tcW w:w="1304" w:type="dxa"/>
            <w:tcBorders>
              <w:top w:val="thickThinLargeGap" w:sz="6" w:space="0" w:color="800000"/>
              <w:start w:val="thickThinLargeGap" w:sz="6" w:space="0" w:color="800000"/>
              <w:bottom w:val="thickThinLargeGap" w:sz="6" w:space="0" w:color="800000"/>
              <w:end w:val="thickThinLargeGap" w:sz="6" w:space="0" w:color="800000"/>
            </w:tcBorders>
            <w:vAlign w:val="center"/>
          </w:tcPr>
          <w:p>
            <w:pPr>
              <w:pStyle w:val="Normal"/>
              <w:rPr>
                <w:rFonts w:ascii="Arial Unicode MS" w:hAnsi="Arial Unicode MS" w:eastAsia="Arial Unicode MS" w:cs="Arial Unicode MS"/>
                <w:color w:val="000080"/>
              </w:rPr>
            </w:pPr>
            <w:r>
              <w:rPr/>
              <w:t>Catastrophic</w:t>
            </w:r>
          </w:p>
        </w:tc>
        <w:tc>
          <w:tcPr>
            <w:tcW w:w="4564" w:type="dxa"/>
            <w:tcBorders>
              <w:top w:val="thickThinLargeGap" w:sz="6" w:space="0" w:color="800000"/>
              <w:start w:val="thickThinLargeGap" w:sz="6" w:space="0" w:color="800000"/>
              <w:bottom w:val="thickThinLargeGap" w:sz="6" w:space="0" w:color="800000"/>
              <w:end w:val="thickThinLargeGap" w:sz="6" w:space="0" w:color="800000"/>
            </w:tcBorders>
            <w:vAlign w:val="center"/>
          </w:tcPr>
          <w:p>
            <w:pPr>
              <w:pStyle w:val="Normal"/>
              <w:rPr>
                <w:rFonts w:ascii="Arial Unicode MS" w:hAnsi="Arial Unicode MS" w:eastAsia="Arial Unicode MS" w:cs="Arial Unicode MS"/>
                <w:color w:val="000080"/>
              </w:rPr>
            </w:pPr>
            <w:r>
              <w:rPr/>
              <w:t>Camille 1969 MS | Labor Day Hurricane 1935 FL Keys</w:t>
            </w:r>
          </w:p>
        </w:tc>
        <w:tc>
          <w:tcPr>
            <w:tcW w:w="170" w:type="dxa"/>
            <w:tcBorders>
              <w:bottom w:val="thickThinLargeGap" w:sz="24" w:space="0" w:color="C0C0C0"/>
              <w:end w:val="thickThinLargeGap" w:sz="24" w:space="0" w:color="C0C0C0"/>
            </w:tcBorders>
            <w:vAlign w:val="center"/>
          </w:tcPr>
          <w:p>
            <w:pPr>
              <w:pStyle w:val="Normal"/>
              <w:snapToGrid w:val="false"/>
              <w:rPr>
                <w:rFonts w:ascii="Arial Unicode MS" w:hAnsi="Arial Unicode MS" w:eastAsia="Arial Unicode MS" w:cs="Arial Unicode MS"/>
                <w:color w:val="000080"/>
                <w:sz w:val="20"/>
                <w:szCs w:val="20"/>
              </w:rPr>
            </w:pPr>
            <w:r>
              <w:rPr>
                <w:rFonts w:eastAsia="Arial Unicode MS" w:cs="Arial Unicode MS" w:ascii="Arial Unicode MS" w:hAnsi="Arial Unicode MS"/>
                <w:color w:val="000080"/>
                <w:sz w:val="20"/>
                <w:szCs w:val="20"/>
              </w:rPr>
            </w:r>
          </w:p>
        </w:tc>
      </w:tr>
    </w:tbl>
    <w:p>
      <w:pPr>
        <w:pStyle w:val="Heading1"/>
        <w:ind w:hanging="0" w:start="0"/>
        <w:jc w:val="center"/>
        <w:rPr>
          <w:sz w:val="52"/>
        </w:rPr>
      </w:pPr>
      <w:r>
        <w:br w:type="page"/>
      </w:r>
      <w:r>
        <w:rPr>
          <w:sz w:val="52"/>
        </w:rPr>
        <w:t>Saffir-Simpson Scale of Hurricanes</w:t>
      </w:r>
    </w:p>
    <w:p>
      <w:pPr>
        <w:pStyle w:val="Normal"/>
        <w:jc w:val="center"/>
        <w:rPr>
          <w:sz w:val="52"/>
          <w:u w:val="single"/>
        </w:rPr>
      </w:pPr>
      <w:r>
        <w:rPr>
          <w:sz w:val="52"/>
          <w:u w:val="single"/>
        </w:rPr>
      </w:r>
    </w:p>
    <w:p>
      <w:pPr>
        <w:pStyle w:val="Normal"/>
        <w:ind w:start="720" w:end="720"/>
        <w:rPr/>
      </w:pPr>
      <w:r>
        <w:rPr>
          <w:b/>
          <w:bCs/>
          <w:sz w:val="28"/>
        </w:rPr>
        <w:t>Category One Hurricane:</w:t>
      </w:r>
      <w:r>
        <w:rPr>
          <w:sz w:val="28"/>
        </w:rPr>
        <w:t xml:space="preserve"> </w:t>
      </w:r>
    </w:p>
    <w:p>
      <w:pPr>
        <w:pStyle w:val="Normal"/>
        <w:ind w:start="720" w:end="720"/>
        <w:rPr>
          <w:sz w:val="28"/>
        </w:rPr>
      </w:pPr>
      <w:r>
        <w:rPr>
          <w:sz w:val="28"/>
        </w:rPr>
      </w:r>
    </w:p>
    <w:p>
      <w:pPr>
        <w:pStyle w:val="Normal"/>
        <w:ind w:start="720" w:end="0"/>
        <w:jc w:val="both"/>
        <w:rPr/>
      </w:pPr>
      <w:r>
        <w:rPr>
          <w:sz w:val="28"/>
        </w:rPr>
        <w:t xml:space="preserve">Winds 74-95 mph (64-82 kt or 119-153 km/hr). Storm surge generally 4-5 ft above normal. No real damage to building structures. Damage primarily to unanchored mobile homes, shrubbery, and trees. Some damage to poorly constructed signs. Also, some coastal road flooding and minor pier damage. Hurricanes </w:t>
      </w:r>
      <w:hyperlink r:id="rId2">
        <w:r>
          <w:rPr>
            <w:rStyle w:val="Hyperlink"/>
            <w:color w:val="000080"/>
            <w:sz w:val="28"/>
          </w:rPr>
          <w:t>Allison</w:t>
        </w:r>
      </w:hyperlink>
      <w:r>
        <w:rPr>
          <w:sz w:val="28"/>
        </w:rPr>
        <w:t xml:space="preserve"> of 1995 and </w:t>
      </w:r>
      <w:hyperlink r:id="rId3">
        <w:r>
          <w:rPr>
            <w:rStyle w:val="Hyperlink"/>
            <w:color w:val="000080"/>
            <w:sz w:val="28"/>
          </w:rPr>
          <w:t>Danny</w:t>
        </w:r>
      </w:hyperlink>
      <w:r>
        <w:rPr>
          <w:sz w:val="28"/>
        </w:rPr>
        <w:t xml:space="preserve"> of 1997 were Category One hurricanes at peak intensity.</w:t>
      </w:r>
    </w:p>
    <w:p>
      <w:pPr>
        <w:pStyle w:val="Normal"/>
        <w:rPr>
          <w:sz w:val="28"/>
        </w:rPr>
      </w:pPr>
      <w:r>
        <w:rPr>
          <w:sz w:val="28"/>
        </w:rPr>
      </w:r>
    </w:p>
    <w:p>
      <w:pPr>
        <w:pStyle w:val="Normal"/>
        <w:ind w:start="720" w:end="720"/>
        <w:rPr>
          <w:b/>
          <w:bCs/>
          <w:sz w:val="28"/>
        </w:rPr>
      </w:pPr>
      <w:r>
        <w:rPr>
          <w:b/>
          <w:bCs/>
          <w:sz w:val="28"/>
        </w:rPr>
      </w:r>
    </w:p>
    <w:p>
      <w:pPr>
        <w:pStyle w:val="Normal"/>
        <w:ind w:firstLine="720" w:end="720"/>
        <w:rPr/>
      </w:pPr>
      <w:r>
        <w:rPr>
          <w:b/>
          <w:bCs/>
          <w:sz w:val="28"/>
        </w:rPr>
        <w:t>Category Two Hurricane:</w:t>
      </w:r>
      <w:r>
        <w:rPr>
          <w:sz w:val="28"/>
        </w:rPr>
        <w:t xml:space="preserve"> </w:t>
      </w:r>
    </w:p>
    <w:p>
      <w:pPr>
        <w:pStyle w:val="Normal"/>
        <w:ind w:start="720" w:end="720"/>
        <w:rPr>
          <w:sz w:val="28"/>
        </w:rPr>
      </w:pPr>
      <w:r>
        <w:rPr>
          <w:sz w:val="28"/>
        </w:rPr>
      </w:r>
    </w:p>
    <w:p>
      <w:pPr>
        <w:pStyle w:val="Normal"/>
        <w:ind w:start="720" w:end="0"/>
        <w:jc w:val="both"/>
        <w:rPr/>
      </w:pPr>
      <w:r>
        <w:rPr>
          <w:sz w:val="28"/>
        </w:rPr>
        <w:t xml:space="preserve">Winds 96-110 mph (83-95 kt or 154-177 km/hr). Storm surge generally 6-8 feet above normal. Some roofing material, door, and window damage of buildings. Considerable damage to shrubbery and trees with some trees blown down. Considerable damage to mobile homes, poorly constructed signs, and piers. Coastal and low-lying escape routes flood 2-4 hours before arrival of the hurricane center. Small craft in unprotected anchorages break moorings. </w:t>
      </w:r>
      <w:hyperlink r:id="rId4">
        <w:r>
          <w:rPr>
            <w:rStyle w:val="Hyperlink"/>
            <w:color w:val="000080"/>
            <w:sz w:val="28"/>
          </w:rPr>
          <w:t>Hurricane Bonnie</w:t>
        </w:r>
      </w:hyperlink>
      <w:r>
        <w:rPr>
          <w:sz w:val="28"/>
        </w:rPr>
        <w:t xml:space="preserve"> of 1998 was a Category Two hurricane when it hit the North Carolina coast, while </w:t>
      </w:r>
      <w:hyperlink r:id="rId5">
        <w:r>
          <w:rPr>
            <w:rStyle w:val="Hyperlink"/>
            <w:color w:val="000080"/>
            <w:sz w:val="28"/>
          </w:rPr>
          <w:t>Hurricane Georges</w:t>
        </w:r>
      </w:hyperlink>
      <w:r>
        <w:rPr>
          <w:sz w:val="28"/>
        </w:rPr>
        <w:t xml:space="preserve"> of 1998 was a Category Two Hurricane when it hit the Florida Keys and the Mississippi Gulf Coast.</w:t>
      </w:r>
    </w:p>
    <w:p>
      <w:pPr>
        <w:pStyle w:val="Normal"/>
        <w:rPr>
          <w:sz w:val="28"/>
        </w:rPr>
      </w:pPr>
      <w:r>
        <w:rPr>
          <w:sz w:val="28"/>
        </w:rPr>
      </w:r>
    </w:p>
    <w:p>
      <w:pPr>
        <w:pStyle w:val="Normal"/>
        <w:ind w:start="720" w:end="720"/>
        <w:rPr/>
      </w:pPr>
      <w:r>
        <w:rPr>
          <w:b/>
          <w:bCs/>
          <w:sz w:val="28"/>
        </w:rPr>
        <w:t>Category Three Hurricane:</w:t>
      </w:r>
      <w:r>
        <w:rPr>
          <w:sz w:val="28"/>
        </w:rPr>
        <w:t xml:space="preserve"> </w:t>
      </w:r>
    </w:p>
    <w:p>
      <w:pPr>
        <w:pStyle w:val="Normal"/>
        <w:ind w:start="720" w:end="720"/>
        <w:rPr>
          <w:sz w:val="28"/>
        </w:rPr>
      </w:pPr>
      <w:r>
        <w:rPr>
          <w:sz w:val="28"/>
        </w:rPr>
      </w:r>
    </w:p>
    <w:p>
      <w:pPr>
        <w:pStyle w:val="Normal"/>
        <w:ind w:start="720" w:end="0"/>
        <w:jc w:val="both"/>
        <w:rPr/>
      </w:pPr>
      <w:r>
        <w:rPr>
          <w:sz w:val="28"/>
        </w:rPr>
        <w:t xml:space="preserve">Winds 111-130 mph (96-113 kt or 178-209 km/hr). Storm surge generally 9-12 ft above normal. Some structural damage to small residences and utility buildings with a minor amount of curtainwall failures. Damage to shrubbery and trees with foliage blown off trees and large tress blown down. Mobile homes and poorly constructed signs are destroyed. Low-lying escape routes are cut by rising water 3-5 hours before arrival of the hurricane center. Flooding near the coast destroys smaller structures with larger structures damaged by battering of floating debris. Terrain continuously lower than 5 ft above mean sea level may be flooded inland 8 miles (13 km) or more. Evacuation of low-lying residences with several blocks of the shoreline may be required. Hurricanes </w:t>
      </w:r>
      <w:hyperlink r:id="rId6">
        <w:r>
          <w:rPr>
            <w:rStyle w:val="Hyperlink"/>
            <w:color w:val="000080"/>
            <w:sz w:val="28"/>
          </w:rPr>
          <w:t>Roxanne</w:t>
        </w:r>
      </w:hyperlink>
      <w:r>
        <w:rPr>
          <w:sz w:val="28"/>
        </w:rPr>
        <w:t xml:space="preserve"> of 1995 and </w:t>
      </w:r>
      <w:hyperlink r:id="rId7">
        <w:r>
          <w:rPr>
            <w:rStyle w:val="Hyperlink"/>
            <w:color w:val="000080"/>
            <w:sz w:val="28"/>
          </w:rPr>
          <w:t>Fran</w:t>
        </w:r>
      </w:hyperlink>
      <w:r>
        <w:rPr>
          <w:sz w:val="28"/>
        </w:rPr>
        <w:t xml:space="preserve"> of 1996 were Category Three hurricanes at landfall on the Yucatan Peninsula of Mexico and in North Carolina, respectively.</w:t>
      </w:r>
    </w:p>
    <w:p>
      <w:pPr>
        <w:pStyle w:val="Normal"/>
        <w:rPr>
          <w:sz w:val="28"/>
        </w:rPr>
      </w:pPr>
      <w:r>
        <w:rPr>
          <w:sz w:val="28"/>
        </w:rPr>
      </w:r>
    </w:p>
    <w:p>
      <w:pPr>
        <w:pStyle w:val="Normal"/>
        <w:ind w:start="720" w:end="720"/>
        <w:rPr/>
      </w:pPr>
      <w:r>
        <w:rPr>
          <w:b/>
          <w:bCs/>
          <w:sz w:val="28"/>
        </w:rPr>
        <w:t>Category Four Hurricane:</w:t>
      </w:r>
      <w:r>
        <w:rPr>
          <w:sz w:val="28"/>
        </w:rPr>
        <w:t xml:space="preserve"> </w:t>
      </w:r>
    </w:p>
    <w:p>
      <w:pPr>
        <w:pStyle w:val="Normal"/>
        <w:ind w:start="720" w:end="720"/>
        <w:rPr>
          <w:sz w:val="28"/>
        </w:rPr>
      </w:pPr>
      <w:r>
        <w:rPr>
          <w:sz w:val="28"/>
        </w:rPr>
      </w:r>
    </w:p>
    <w:p>
      <w:pPr>
        <w:pStyle w:val="Normal"/>
        <w:ind w:start="720" w:end="0"/>
        <w:jc w:val="both"/>
        <w:rPr/>
      </w:pPr>
      <w:r>
        <w:rPr>
          <w:sz w:val="28"/>
        </w:rPr>
        <w:t xml:space="preserve">Winds 131-155 mph (114-135 kt or 210-249 km/hr). Storm surge generally 13-18 ft above normal. More extensive curtainwall failures with some complete roof structure failures on small residences. Shrubs, trees, and all signs are blown down. Complete destruction of mobile homes. Extensive damage to doors and windows. Low-lying escape routes may be cut by rising water 3-5 hours before arrival of the hurricane center. Major damage to lower floors of structures near the shore. Terrain lower than 10 ft above sea level may be flooded requiring massive evacuation of residential areas as far inland as 6 miles (10 km). </w:t>
      </w:r>
      <w:hyperlink r:id="rId8">
        <w:r>
          <w:rPr>
            <w:rStyle w:val="Hyperlink"/>
            <w:color w:val="000080"/>
            <w:sz w:val="28"/>
          </w:rPr>
          <w:t>Hurricane Luis</w:t>
        </w:r>
      </w:hyperlink>
      <w:r>
        <w:rPr>
          <w:sz w:val="28"/>
        </w:rPr>
        <w:t xml:space="preserve"> of 1995 was a Category Four hurricane while moving over the Leeward Islands. Hurricanes </w:t>
      </w:r>
      <w:hyperlink r:id="rId9">
        <w:r>
          <w:rPr>
            <w:rStyle w:val="Hyperlink"/>
            <w:color w:val="000080"/>
            <w:sz w:val="28"/>
          </w:rPr>
          <w:t>Felix</w:t>
        </w:r>
      </w:hyperlink>
      <w:r>
        <w:rPr>
          <w:sz w:val="28"/>
        </w:rPr>
        <w:t xml:space="preserve"> and </w:t>
      </w:r>
      <w:hyperlink r:id="rId10">
        <w:r>
          <w:rPr>
            <w:rStyle w:val="Hyperlink"/>
            <w:color w:val="000080"/>
            <w:sz w:val="28"/>
          </w:rPr>
          <w:t>Opal</w:t>
        </w:r>
      </w:hyperlink>
      <w:r>
        <w:rPr>
          <w:sz w:val="28"/>
        </w:rPr>
        <w:t xml:space="preserve"> of 1995 also reached Catgeory Four status at peak intensity.</w:t>
      </w:r>
    </w:p>
    <w:p>
      <w:pPr>
        <w:pStyle w:val="Normal"/>
        <w:rPr>
          <w:sz w:val="28"/>
        </w:rPr>
      </w:pPr>
      <w:r>
        <w:rPr>
          <w:sz w:val="28"/>
        </w:rPr>
      </w:r>
    </w:p>
    <w:p>
      <w:pPr>
        <w:pStyle w:val="Normal"/>
        <w:ind w:start="720" w:end="720"/>
        <w:rPr/>
      </w:pPr>
      <w:r>
        <w:rPr>
          <w:b/>
          <w:bCs/>
          <w:sz w:val="28"/>
        </w:rPr>
        <w:t>Category Five Hurricane:</w:t>
      </w:r>
      <w:r>
        <w:rPr>
          <w:sz w:val="28"/>
        </w:rPr>
        <w:t xml:space="preserve"> </w:t>
      </w:r>
    </w:p>
    <w:p>
      <w:pPr>
        <w:pStyle w:val="Normal"/>
        <w:ind w:start="720" w:end="720"/>
        <w:rPr>
          <w:sz w:val="28"/>
        </w:rPr>
      </w:pPr>
      <w:r>
        <w:rPr>
          <w:sz w:val="28"/>
        </w:rPr>
      </w:r>
    </w:p>
    <w:p>
      <w:pPr>
        <w:pStyle w:val="Normal"/>
        <w:ind w:start="720" w:end="0"/>
        <w:jc w:val="both"/>
        <w:rPr/>
      </w:pPr>
      <w:r>
        <w:rPr>
          <w:sz w:val="28"/>
        </w:rPr>
        <w:t xml:space="preserve">Winds greater than 155 mph (135 kt or 249 km/hr). Storm surge generally greater than 18 ft above normal. Complete roof failure on many residences and industrial buildings. Some complete building failures with small utility buildings blown over or away. All shrubs, trees, and signs blown down. Complete destructon of mobile homes. Severe and extensive window and door damage. Low-lying escape routes are cut by rising water 3-5 hours before arrival of the hurricane center. Major damage to lower floors of all structures located less than 15 ft above sea level and within 500 yards of the shoreline. Massive evacuation of residential areas on low ground within 5-10 miles (8-16 km) of the shoreline may be required. </w:t>
      </w:r>
      <w:hyperlink r:id="rId11">
        <w:r>
          <w:rPr>
            <w:rStyle w:val="Hyperlink"/>
            <w:color w:val="000080"/>
            <w:sz w:val="28"/>
          </w:rPr>
          <w:t>Hurricane Mitch</w:t>
        </w:r>
      </w:hyperlink>
      <w:r>
        <w:rPr>
          <w:sz w:val="28"/>
        </w:rPr>
        <w:t xml:space="preserve"> of 1998 was a Category Five hurricane at peak intensity over the western Caribbean. </w:t>
      </w:r>
      <w:hyperlink r:id="rId12">
        <w:r>
          <w:rPr>
            <w:rStyle w:val="Hyperlink"/>
            <w:color w:val="000080"/>
            <w:sz w:val="28"/>
          </w:rPr>
          <w:t>Hurricane Gilbert</w:t>
        </w:r>
      </w:hyperlink>
      <w:r>
        <w:rPr>
          <w:sz w:val="28"/>
        </w:rPr>
        <w:t xml:space="preserve"> of 1988 was a Category Five hurricane at peak intensity and is the strongest Atlantic tropical cyclone of record. </w:t>
      </w:r>
    </w:p>
    <w:p>
      <w:pPr>
        <w:pStyle w:val="Normal"/>
        <w:rPr>
          <w:sz w:val="28"/>
        </w:rPr>
      </w:pPr>
      <w:r>
        <w:rPr>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36"/>
      <w:u w:val="single"/>
    </w:rPr>
  </w:style>
  <w:style w:type="paragraph" w:styleId="Heading2">
    <w:name w:val="heading 2"/>
    <w:basedOn w:val="Normal"/>
    <w:next w:val="BodyText"/>
    <w:qFormat/>
    <w:pPr>
      <w:numPr>
        <w:ilvl w:val="1"/>
        <w:numId w:val="1"/>
      </w:numPr>
      <w:spacing w:before="100" w:after="100"/>
      <w:outlineLvl w:val="1"/>
    </w:pPr>
    <w:rPr>
      <w:rFonts w:ascii="Arial Unicode MS" w:hAnsi="Arial Unicode MS" w:eastAsia="Arial Unicode MS" w:cs="Arial Unicode MS"/>
      <w:b/>
      <w:bCs/>
      <w:color w:val="000080"/>
      <w:sz w:val="36"/>
      <w:szCs w:val="36"/>
    </w:rPr>
  </w:style>
  <w:style w:type="character" w:styleId="DefaultParagraphFont">
    <w:name w:val="Default Paragraph Font"/>
    <w:qFormat/>
    <w:rPr/>
  </w:style>
  <w:style w:type="character" w:styleId="Hyperlink">
    <w:name w:val="Hyperlink"/>
    <w:basedOn w:val="DefaultParagraphFont"/>
    <w:rPr>
      <w:color w:val="00009C"/>
      <w:u w:val="single"/>
    </w:rPr>
  </w:style>
  <w:style w:type="paragraph" w:styleId="Heading">
    <w:name w:val="Heading"/>
    <w:basedOn w:val="Normal"/>
    <w:next w:val="BodyText"/>
    <w:qFormat/>
    <w:pPr>
      <w:jc w:val="center"/>
    </w:pPr>
    <w:rPr>
      <w:sz w:val="4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hc.noaa.gov/1995allison.html" TargetMode="External"/><Relationship Id="rId3" Type="http://schemas.openxmlformats.org/officeDocument/2006/relationships/hyperlink" Target="http://www.nhc.noaa.gov/1997danny.html" TargetMode="External"/><Relationship Id="rId4" Type="http://schemas.openxmlformats.org/officeDocument/2006/relationships/hyperlink" Target="http://www.nhc.noaa.gov/1998bonnie.html" TargetMode="External"/><Relationship Id="rId5" Type="http://schemas.openxmlformats.org/officeDocument/2006/relationships/hyperlink" Target="http://www.nhc.noaa.gov/1998georges.html" TargetMode="External"/><Relationship Id="rId6" Type="http://schemas.openxmlformats.org/officeDocument/2006/relationships/hyperlink" Target="http://www.nhc.noaa.gov/1995roxanne.html" TargetMode="External"/><Relationship Id="rId7" Type="http://schemas.openxmlformats.org/officeDocument/2006/relationships/hyperlink" Target="http://www.nhc.noaa.gov/1996fran.html" TargetMode="External"/><Relationship Id="rId8" Type="http://schemas.openxmlformats.org/officeDocument/2006/relationships/hyperlink" Target="http://www.nhc.noaa.gov/1995luis.html" TargetMode="External"/><Relationship Id="rId9" Type="http://schemas.openxmlformats.org/officeDocument/2006/relationships/hyperlink" Target="http://www.nhc.noaa.gov/1995felix.html" TargetMode="External"/><Relationship Id="rId10" Type="http://schemas.openxmlformats.org/officeDocument/2006/relationships/hyperlink" Target="http://www.nhc.noaa.gov/1995opal.html" TargetMode="External"/><Relationship Id="rId11" Type="http://schemas.openxmlformats.org/officeDocument/2006/relationships/hyperlink" Target="http://www.nhc.noaa.gov/1998mitch.html" TargetMode="External"/><Relationship Id="rId12" Type="http://schemas.openxmlformats.org/officeDocument/2006/relationships/hyperlink" Target="http://www.nhc.noaa.gov/1988gilbert.html" TargetMode="Externa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2001-08-03T16:06:00Z</dcterms:created>
  <dc:creator>dryan</dc:creator>
  <dc:description/>
  <dc:language>en-CA</dc:language>
  <cp:lastModifiedBy>harora</cp:lastModifiedBy>
  <cp:lastPrinted>2001-08-02T10:02:00Z</cp:lastPrinted>
  <dcterms:modified xsi:type="dcterms:W3CDTF">2001-08-03T16:06:00Z</dcterms:modified>
  <cp:revision>2</cp:revision>
  <dc:subject/>
  <dc:title>Tropical Reference Sheet</dc:title>
</cp:coreProperties>
</file>