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PDefaults"/>
        <w:tabs>
          <w:tab w:val="clear" w:pos="11520"/>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rPr>
      </w:pPr>
      <w:r>
        <w:rPr>
          <w:rFonts w:cs="Times;Times New Roman" w:ascii="Times;Times New Roman" w:hAnsi="Times;Times New Roman"/>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r>
    </w:p>
    <w:p>
      <w:pPr>
        <w:pStyle w:val="WPDefaults"/>
        <w:tabs>
          <w:tab w:val="clear" w:pos="11520"/>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b/>
          <w:sz w:val="24"/>
        </w:rPr>
      </w:pPr>
      <w:r>
        <w:rPr>
          <w:rFonts w:cs="Times;Times New Roman" w:ascii="Times;Times New Roman" w:hAnsi="Times;Times New Roman"/>
          <w:b/>
          <w:sz w:val="24"/>
        </w:rPr>
        <w:t>Trojan Settlement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b/>
          <w:sz w:val="24"/>
        </w:rPr>
      </w:pPr>
      <w:r>
        <w:rPr>
          <w:rFonts w:cs="Times;Times New Roman" w:ascii="Times;Times New Roman" w:hAnsi="Times;Times New Roman"/>
          <w:b/>
          <w:sz w:val="24"/>
        </w:rPr>
        <w:t>Draft News Release</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b/>
          <w:sz w:val="24"/>
        </w:rPr>
      </w:pPr>
      <w:r>
        <w:rPr>
          <w:rFonts w:cs="Times;Times New Roman" w:ascii="Times;Times New Roman" w:hAnsi="Times;Times New Roman"/>
          <w:b/>
          <w:sz w:val="24"/>
        </w:rPr>
        <w:t>M. Fryburg</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rFonts w:cs="Times;Times New Roman" w:ascii="Times;Times New Roman" w:hAnsi="Times;Times New Roman"/>
          <w:b/>
          <w:sz w:val="24"/>
        </w:rPr>
        <w:t>8-11-00</w:t>
      </w:r>
      <w:r>
        <w:rPr>
          <w:rFonts w:cs="Times;Times New Roman" w:ascii="Times;Times New Roman" w:hAnsi="Times;Times New Roman"/>
          <w:sz w:val="24"/>
        </w:rPr>
        <w:t xml:space="preserve"> (1:00  PM -- Includes Peggy Fowler’s quote changes and  Baker edits of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t>8-11)</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rFonts w:ascii="Times;Times New Roman" w:hAnsi="Times;Times New Roman" w:cs="Times;Times New Roman"/>
          <w:b/>
          <w:sz w:val="24"/>
        </w:rPr>
      </w:pPr>
      <w:r>
        <w:rPr>
          <w:rFonts w:cs="Times;Times New Roman" w:ascii="Times;Times New Roman" w:hAnsi="Times;Times New Roman"/>
          <w:b/>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rFonts w:ascii="Times;Times New Roman" w:hAnsi="Times;Times New Roman" w:cs="Times;Times New Roman"/>
          <w:sz w:val="24"/>
        </w:rPr>
      </w:pPr>
      <w:r>
        <w:rPr>
          <w:rFonts w:cs="Times;Times New Roman" w:ascii="Times;Times New Roman" w:hAnsi="Times;Times New Roman"/>
          <w:b/>
          <w:sz w:val="24"/>
        </w:rPr>
        <w:t xml:space="preserve">D   R   A   F   T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rFonts w:ascii="Times;Times New Roman" w:hAnsi="Times;Times New Roman" w:cs="Times;Times New Roman"/>
          <w:i/>
          <w:i/>
          <w:sz w:val="24"/>
        </w:rPr>
      </w:pPr>
      <w:r>
        <w:rPr>
          <w:rFonts w:cs="Times;Times New Roman" w:ascii="Times;Times New Roman" w:hAnsi="Times;Times New Roman"/>
          <w:b/>
          <w:sz w:val="24"/>
        </w:rPr>
        <w:t>Agreement reached on major Trojan issue</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Times New Roman" w:hAnsi="Times;Times New Roman" w:cs="Times;Times New Roman"/>
          <w:i/>
          <w:i/>
          <w:sz w:val="24"/>
        </w:rPr>
      </w:pPr>
      <w:r>
        <w:rPr>
          <w:rFonts w:cs="Times;Times New Roman" w:ascii="Times;Times New Roman" w:hAnsi="Times;Times New Roman"/>
          <w:i/>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Portland, Ore -- Portland General Electric (PGE), the Citizens Utility Board (CUB) and the staff of the Oregon Public Utility Commission today announced an agreement designed to resolve a major cost issue involving the retired Trojan plant. The plan, if approved by the Oregon Public Utility Commission (OPUC), will save PGE customers more than $17 million.</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WPDefaults"/>
        <w:tabs>
          <w:tab w:val="clear" w:pos="11520"/>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rPr>
      </w:pPr>
      <w:r>
        <w:rPr>
          <w:rFonts w:cs="Times;Times New Roman" w:ascii="Times;Times New Roman" w:hAnsi="Times;Times New Roman"/>
        </w:rPr>
        <w:tab/>
        <w:t>“We initiated discussions with PGE on this subject to help resolve a complex legal issue in a way that's fair to everyone,” said _________, of CUB, Oregon's primary utility consumer interest group. “This is a realistic solution. If OPUC approves, it can be implemented by October.”</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 xml:space="preserve">Essentially, the agreement provides a way to take much of the remaining Trojan costs off the books, so that consumers will no longer pay for PGE’s investment in Trojan through their monthly electric bills.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“This agreement benefits customers beyond reducing their costs,” said Peggy Fowler, CEO and President of PGE. “It’s an opportunity to move forward and work together on Oregon’s energy future. CUB and the OPUC staff deserve a great deal of credit for this agreement.”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The agreement also received input from and endorsement by the staff of the OPUC. PGE will file an application with the full OPUC to approve the settlement, effective Oct. 1, 2000.</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 xml:space="preserve">Trojan was closed in January 1993 for economic reasons. Though the plant is closed, a portion of customers’ electric bills goes toward recovering PGE’s initial investment in Trojan, and to paying a return on that investment – the interest customers pay on the remaining value of the plant.  The issue of return on investment became the center of the debate. It is pending in a court case and is on the November 2000 ballot as Ballot Measure 90.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The new agreement between CUB and PGE helps remove this issue by retiring the investment and ending the return on investment.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i/>
          <w:i/>
          <w:sz w:val="24"/>
        </w:rPr>
      </w:pPr>
      <w:r>
        <w:rPr>
          <w:rFonts w:cs="Times;Times New Roman" w:ascii="Times;Times New Roman" w:hAnsi="Times;Times New Roman"/>
          <w:sz w:val="24"/>
        </w:rPr>
        <w:tab/>
        <w:t>To take the investment off the books, PGE would take several amounts it has on its books as credits to customers over time, plus a substantial contribution from its shareholders, and apply that against what customers owe for the remaining value of the plant.  PGE’s obligations to customers include benefits from the 1997 merger with Enron and from settlements of contracts with other utilities. Ongoing decommissioning costs at Trojan are not affected by the agreement.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i/>
          <w:i/>
          <w:sz w:val="24"/>
        </w:rPr>
      </w:pPr>
      <w:r>
        <w:rPr>
          <w:rFonts w:cs="Times;Times New Roman" w:ascii="Times;Times New Roman" w:hAnsi="Times;Times New Roman"/>
          <w:i/>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 xml:space="preserve">Ballot Measure 90 will remain on the November ballot, but will have less significance if the Trojan investment issue is removed by the agreement.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pPr>
      <w:r>
        <w:rPr>
          <w:rFonts w:cs="Times;Times New Roman" w:ascii="Times;Times New Roman" w:hAnsi="Times;Times New Roman"/>
          <w:sz w:val="24"/>
        </w:rPr>
        <w:tab/>
        <w:t>PGE is Oregon’s largest electric utility with 728,000 customers.  (</w:t>
      </w:r>
      <w:r>
        <w:rPr>
          <w:rFonts w:cs="Times;Times New Roman" w:ascii="Times;Times New Roman" w:hAnsi="Times;Times New Roman"/>
          <w:i/>
          <w:sz w:val="24"/>
        </w:rPr>
        <w:t>Add one line of CUB boilerplate.</w:t>
      </w:r>
      <w:r>
        <w:rPr>
          <w:rFonts w:cs="Times;Times New Roman" w:ascii="Times;Times New Roman" w:hAnsi="Times;Times New Roman"/>
          <w:sz w:val="24"/>
        </w:rPr>
        <w:t>)</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tab/>
        <w:tab/>
        <w:tab/>
        <w:tab/>
        <w:tab/>
        <w:tab/>
        <w:t># #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tLeast" w:line="360"/>
        <w:rPr>
          <w:rFonts w:ascii="Times;Times New Roman" w:hAnsi="Times;Times New Roman" w:cs="Times;Times New Roman"/>
          <w:sz w:val="24"/>
        </w:rPr>
      </w:pPr>
      <w:r>
        <w:rPr>
          <w:rFonts w:cs="Times;Times New Roman" w:ascii="Times;Times New Roman" w:hAnsi="Times;Times New Roman"/>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Palatino">
    <w:altName w:val="Book Antiqua"/>
    <w:charset w:val="00" w:characterSet="windows-1252"/>
    <w:family w:val="auto"/>
    <w:pitch w:val="default"/>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Times New Roman" w:hAnsi="Times;Times New Roman" w:cs="Times;Times New Roman"/>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rFonts w:ascii="Palatino;Book Antiqua" w:hAnsi="Palatino;Book Antiqua" w:cs="Palatino;Book Antiqua"/>
      <w:sz w:val="24"/>
    </w:rPr>
  </w:style>
  <w:style w:type="paragraph" w:styleId="Document">
    <w:name w:val="Document"/>
    <w:basedOn w:val="WPDefaults"/>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2000-08-10T11:57:00Z</dcterms:created>
  <dc:creator>Mark Fryburg</dc:creator>
  <dc:description/>
  <dc:language>en-CA</dc:language>
  <cp:lastModifiedBy>Mark Fryburg</cp:lastModifiedBy>
  <cp:lastPrinted>2000-08-10T18:50:00Z</cp:lastPrinted>
  <dcterms:modified xsi:type="dcterms:W3CDTF">2000-08-11T17:40:00Z</dcterms:modified>
  <cp:revision>35</cp:revision>
  <dc:subject/>
  <dc:title>Trojan Settlement</dc:title>
</cp:coreProperties>
</file>