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b/>
        </w:rPr>
      </w:pPr>
      <w:r>
        <w:rPr>
          <w:rFonts w:cs="Times New Roman" w:ascii="Times New Roman" w:hAnsi="Times New Roman"/>
          <w:b/>
        </w:rPr>
        <w:t>Trojan Settlement</w:t>
      </w:r>
    </w:p>
    <w:p>
      <w:pPr>
        <w:pStyle w:val="Normal"/>
        <w:rPr>
          <w:rFonts w:ascii="Times New Roman" w:hAnsi="Times New Roman" w:cs="Times New Roman"/>
          <w:b/>
        </w:rPr>
      </w:pPr>
      <w:r>
        <w:rPr>
          <w:rFonts w:cs="Times New Roman" w:ascii="Times New Roman" w:hAnsi="Times New Roman"/>
          <w:b/>
        </w:rPr>
        <w:t>Issues in Perspective</w:t>
      </w:r>
    </w:p>
    <w:p>
      <w:pPr>
        <w:pStyle w:val="Normal"/>
        <w:rPr>
          <w:rFonts w:ascii="Times New Roman" w:hAnsi="Times New Roman" w:cs="Times New Roman"/>
        </w:rPr>
      </w:pPr>
      <w:r>
        <w:rPr>
          <w:rFonts w:cs="Times New Roman" w:ascii="Times New Roman" w:hAnsi="Times New Roman"/>
          <w:b/>
        </w:rPr>
        <w:t>8-16-00 (2:00 pm)</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t>D   R   A   F   T</w:t>
      </w:r>
    </w:p>
    <w:p>
      <w:pPr>
        <w:pStyle w:val="Normal"/>
        <w:jc w:val="center"/>
        <w:rPr>
          <w:rFonts w:ascii="Times New Roman" w:hAnsi="Times New Roman" w:cs="Times New Roman"/>
          <w:b/>
        </w:rPr>
      </w:pPr>
      <w:r>
        <w:rPr>
          <w:rFonts w:cs="Times New Roman" w:ascii="Times New Roman" w:hAnsi="Times New Roman"/>
          <w:b/>
        </w:rPr>
        <w:t>Agreement on Trojan Cost Recovery</w:t>
      </w:r>
    </w:p>
    <w:p>
      <w:pPr>
        <w:pStyle w:val="Normal"/>
        <w:rPr>
          <w:rFonts w:ascii="Times New Roman" w:hAnsi="Times New Roman" w:cs="Times New Roman"/>
          <w:b/>
        </w:rPr>
      </w:pPr>
      <w:r>
        <w:rPr>
          <w:rFonts w:cs="Times New Roman" w:ascii="Times New Roman" w:hAnsi="Times New Roman"/>
          <w:b/>
        </w:rPr>
      </w:r>
    </w:p>
    <w:p>
      <w:pPr>
        <w:pStyle w:val="Heading1"/>
        <w:ind w:hanging="0" w:start="0"/>
        <w:rPr>
          <w:rFonts w:ascii="Times New Roman" w:hAnsi="Times New Roman" w:cs="Times New Roman"/>
        </w:rPr>
      </w:pPr>
      <w:r>
        <w:rPr>
          <w:rFonts w:cs="Times New Roman" w:ascii="Times New Roman" w:hAnsi="Times New Roman"/>
        </w:rPr>
        <w:t>Summary</w:t>
      </w:r>
    </w:p>
    <w:p>
      <w:pPr>
        <w:pStyle w:val="Normal"/>
        <w:rPr>
          <w:rFonts w:ascii="Times New Roman" w:hAnsi="Times New Roman" w:cs="Times New Roman"/>
        </w:rPr>
      </w:pPr>
      <w:r>
        <w:rPr>
          <w:rFonts w:cs="Times New Roman" w:ascii="Times New Roman" w:hAnsi="Times New Roman"/>
        </w:rPr>
      </w:r>
    </w:p>
    <w:p>
      <w:pPr>
        <w:pStyle w:val="Normal"/>
        <w:numPr>
          <w:ilvl w:val="0"/>
          <w:numId w:val="3"/>
        </w:num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720" w:end="0"/>
        <w:rPr>
          <w:rFonts w:ascii="Times New Roman" w:hAnsi="Times New Roman" w:cs="Times New Roman"/>
        </w:rPr>
      </w:pPr>
      <w:r>
        <w:rPr>
          <w:rFonts w:cs="Times New Roman" w:ascii="Times New Roman" w:hAnsi="Times New Roman"/>
        </w:rPr>
        <w:t xml:space="preserve">The Citizens’ Utility Board (CUB), Portland General Electric (PGE) and the staff of the Oregon Public Utility Commission (OPUC) have reached an agreement designed to resolve major issues related to the retired Trojan Nuclear Power Plant.  It reduces costs for customers, while providing a way for PGE to recover its investment in the plant. </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The agreement addresses the issue of interest paid by PGE customers on the remaining value of the plant, which closed in 1993. The agreement would retire the remaining investment all at once.  That would automatically end all interest payments by customers. (This issue, called “return on investment” has been at the center of the debate on Trojan costs, involving a lawsuit now before the Supreme Court and Ballot Measure 90 in the fall election.)</w:t>
      </w:r>
    </w:p>
    <w:p>
      <w:pPr>
        <w:pStyle w:val="Normal"/>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PGE shareholders will make a substantial contribution to taking the Trojan plant off the books – an estimated $10.4 million dollars (after taxes).</w:t>
      </w:r>
    </w:p>
    <w:p>
      <w:pPr>
        <w:pStyle w:val="Normal"/>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 xml:space="preserve">As a result of this agreement, PGE customers will save approximately $34.1 million (adjusted for inflation) on their bills over 11 years.  Customers will no longer have the Trojan investment, and the interest on that investment, in their electric bills.  </w:t>
      </w:r>
    </w:p>
    <w:p>
      <w:pPr>
        <w:pStyle w:val="Normal"/>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The Oregon Public Utility Commission (OPUC) will review the proposed agreement. If approved, the agreement could take effect October 1, 2000.</w:t>
      </w:r>
    </w:p>
    <w:p>
      <w:pPr>
        <w:pStyle w:val="Normal"/>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t>History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Trojan Nuclear Plant was permanently closed in January 1993 for economic reasons.  The OPUC concurred that closing Trojan, with customers paying for part of the remaining costs, was the least cost option for those consumers.  Savings to customers have been estimated at $35 million per year.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Because the plant closing benefited consumers, the OPUC allowed PGE to continue recovering 87 percent of its investment through customer bills after the plant closed. (PGE absorbed the remaining 13 percent, a loss to the company of $37.5 million.) If the customers paid for that investment all at once, they’d have an immense price increase. So the commission decided to let the customers pay over time, also paying a return on the investment, as they would pay interest on a loan.  The commission decided the payments would continue through 2011.  For a number of years, debate has centered on whether PGE’s can collect a return on the remaining investment in Trojan.  </w:t>
      </w:r>
    </w:p>
    <w:p>
      <w:pPr>
        <w:pStyle w:val="Normal"/>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t>How did this agreement come about?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CUB, PGE and the OPUC staff looked for a way to take the investment costs out of customer bills. PGE’s remaining investment in Trojan is $143 million (after taxes), an amount that is currently being paid by customers, over time, with interest.  But PGE is paying a similar amount </w:t>
      </w:r>
      <w:r>
        <w:rPr>
          <w:rFonts w:cs="Times New Roman" w:ascii="Times New Roman" w:hAnsi="Times New Roman"/>
          <w:i/>
        </w:rPr>
        <w:t xml:space="preserve">to </w:t>
      </w:r>
      <w:r>
        <w:rPr>
          <w:rFonts w:cs="Times New Roman" w:ascii="Times New Roman" w:hAnsi="Times New Roman"/>
        </w:rPr>
        <w:t xml:space="preserve">customers, over time, with interest, from various accounts.  By applying those amounts against each other, they would, for the most part, cancel each other out.  The shortfall would be covered by PGE shareholders.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With no more investment on the books, customers would no longer have to pay the return on the investment.</w:t>
      </w:r>
    </w:p>
    <w:p>
      <w:pPr>
        <w:pStyle w:val="Normal"/>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t>How does the agreement benefit customers, and how much will they save?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There are two types of benefits. First, customer bills would be lower by about $34.1 million (adjusted for inflation) over the 11 years in question.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Second, everyone benefits by putting this contentious issue to rest. Other important energy issues, such as maintaining the region’s electric power supply and energy industry restructuring can now be addressed without the distraction of Trojan cost issues.</w:t>
      </w:r>
    </w:p>
    <w:p>
      <w:pPr>
        <w:pStyle w:val="Normal"/>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t>Where is PGE coming up with the money to retire the remaining investment in Trojan?</w:t>
      </w:r>
    </w:p>
    <w:p>
      <w:pPr>
        <w:pStyle w:val="Normal"/>
        <w:rPr>
          <w:rFonts w:ascii="Times New Roman" w:hAnsi="Times New Roman" w:cs="Times New Roman"/>
        </w:rPr>
      </w:pPr>
      <w:r>
        <w:rPr>
          <w:rFonts w:cs="Times New Roman" w:ascii="Times New Roman" w:hAnsi="Times New Roman"/>
        </w:rPr>
      </w:r>
    </w:p>
    <w:p>
      <w:pPr>
        <w:pStyle w:val="Heading2"/>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0"/>
        <w:rPr/>
      </w:pPr>
      <w:r>
        <w:rPr/>
        <w:t>PGE’s two largest credits to customers are:</w:t>
      </w:r>
    </w:p>
    <w:p>
      <w:pPr>
        <w:pStyle w:val="Normal"/>
        <w:numPr>
          <w:ilvl w:val="0"/>
          <w:numId w:val="6"/>
        </w:numPr>
        <w:rPr>
          <w:rFonts w:ascii="Times New Roman" w:hAnsi="Times New Roman" w:cs="Times New Roman"/>
        </w:rPr>
      </w:pPr>
      <w:r>
        <w:rPr>
          <w:rFonts w:cs="Times New Roman" w:ascii="Times New Roman" w:hAnsi="Times New Roman"/>
        </w:rPr>
        <w:t>$82.6 million from settlements of power contracts with two other utilities</w:t>
      </w:r>
    </w:p>
    <w:p>
      <w:pPr>
        <w:pStyle w:val="Heading2"/>
        <w:numPr>
          <w:ilvl w:val="0"/>
          <w:numId w:val="4"/>
        </w:num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 xml:space="preserve">$82.3 million in benefits from PGE's 1997 merger with Enron Corp. </w:t>
      </w:r>
    </w:p>
    <w:p>
      <w:pPr>
        <w:pStyle w:val="Normal"/>
        <w:numPr>
          <w:ilvl w:val="0"/>
          <w:numId w:val="6"/>
        </w:numPr>
        <w:rPr>
          <w:rFonts w:ascii="Times New Roman" w:hAnsi="Times New Roman" w:cs="Times New Roman"/>
        </w:rPr>
      </w:pPr>
      <w:r>
        <w:rPr>
          <w:rFonts w:cs="Times New Roman" w:ascii="Times New Roman" w:hAnsi="Times New Roman"/>
        </w:rPr>
        <w:t>$23.8 million from nuclear insurance rebates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rPr>
        <w:t>These would be added to a variety of smaller credits due to customers that are on the books.</w:t>
      </w:r>
    </w:p>
    <w:p>
      <w:pPr>
        <w:pStyle w:val="Heading1"/>
        <w:ind w:hanging="0" w:start="0"/>
        <w:rPr>
          <w:rFonts w:ascii="Times New Roman" w:hAnsi="Times New Roman" w:cs="Times New Roman"/>
          <w:b w:val="false"/>
        </w:rPr>
      </w:pPr>
      <w:r>
        <w:rPr>
          <w:rFonts w:cs="Times New Roman" w:ascii="Times New Roman" w:hAnsi="Times New Roman"/>
          <w:b w:val="false"/>
        </w:rPr>
      </w:r>
    </w:p>
    <w:p>
      <w:pPr>
        <w:pStyle w:val="Heading1"/>
        <w:ind w:hanging="0" w:start="0"/>
        <w:rPr>
          <w:rFonts w:ascii="Times New Roman" w:hAnsi="Times New Roman" w:cs="Times New Roman"/>
        </w:rPr>
      </w:pPr>
      <w:r>
        <w:rPr>
          <w:rFonts w:cs="Times New Roman" w:ascii="Times New Roman" w:hAnsi="Times New Roman"/>
        </w:rPr>
        <w:t>What does this agreement have to do with Ballot Measure 90?</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In 1999, the state legislature passed and the governor signed the Retired Utility Plant Bill (HB 3220), making clear that the OPUC has authority to allow a utility to collect return on investment in a retired plant. That legislation was subsequently referred to Oregon voters and is on the November 2000 ballot (Ballot Measure 90).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Though Ballot Measure 90 will remain on the ballot, it will have less significance if the Trojan investment is removed from prices.  PGE and CUB have agreed not to campaign on the measure.  CUB has also agreed to drop its portion of a lawsuit over the Trojan return on investment.</w:t>
      </w:r>
    </w:p>
    <w:p>
      <w:pPr>
        <w:pStyle w:val="Normal"/>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t>How does this agreement affect decommissioning of Trojan?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This agreement has no impact on decommissioning the plant.  PGE will continue decommissioning with the goal of restoring and reclaiming the site, making it safe for public use.  PGE has collected decommissioning funds for the plant since 1976 and will continue to through 2011.  This is required by the federal government and protects the public safety by guaranteeing that money will be available to decommission nuclear plants.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lang w:eastAsia="en-US"/>
        </w:rPr>
      </w:pPr>
      <w:r>
        <w:rPr>
          <w:rFonts w:cs="Times New Roman" w:ascii="Times New Roman" w:hAnsi="Times New Roman"/>
          <w:b/>
          <w:lang w:eastAsia="en-US"/>
        </w:rPr>
        <w:t>How will this impact Columbia County?</w:t>
      </w:r>
    </w:p>
    <w:p>
      <w:pPr>
        <w:pStyle w:val="Normal"/>
        <w:rPr>
          <w:rFonts w:ascii="Times New Roman" w:hAnsi="Times New Roman" w:cs="Times New Roman"/>
          <w:b/>
          <w:lang w:eastAsia="en-US"/>
        </w:rPr>
      </w:pPr>
      <w:r>
        <w:rPr>
          <w:rFonts w:cs="Times New Roman" w:ascii="Times New Roman" w:hAnsi="Times New Roman"/>
          <w:b/>
          <w:lang w:eastAsia="en-US"/>
        </w:rPr>
      </w:r>
    </w:p>
    <w:p>
      <w:pPr>
        <w:pStyle w:val="Normal"/>
        <w:rPr>
          <w:rFonts w:ascii="Times New Roman" w:hAnsi="Times New Roman" w:cs="Times New Roman"/>
          <w:lang w:eastAsia="en-US"/>
        </w:rPr>
      </w:pPr>
      <w:r>
        <w:rPr>
          <w:rFonts w:cs="Times New Roman" w:ascii="Times New Roman" w:hAnsi="Times New Roman"/>
          <w:lang w:eastAsia="en-US"/>
        </w:rPr>
        <w:t>PGE has continued to pay Columbia County taxes on the return on investment for the Trojan Plant that the company has continued to receive since retiring the facility eight years ago. Because PGE will no longer receive that return, those tax payments will end, effective November 2001. The county has been aware of the impending loss in tax revenue since PGE first made the decision to close Trojan in 1992, but this agreement results in that tax stream to the county ending sooner.</w:t>
      </w:r>
    </w:p>
    <w:p>
      <w:pPr>
        <w:pStyle w:val="Normal"/>
        <w:rPr>
          <w:rFonts w:ascii="Times New Roman" w:hAnsi="Times New Roman" w:cs="Times New Roman"/>
          <w:lang w:eastAsia="en-US"/>
        </w:rPr>
      </w:pPr>
      <w:r>
        <w:rPr>
          <w:rFonts w:cs="Times New Roman" w:ascii="Times New Roman" w:hAnsi="Times New Roman"/>
          <w:lang w:eastAsia="en-US"/>
        </w:rPr>
      </w:r>
    </w:p>
    <w:p>
      <w:pPr>
        <w:pStyle w:val="Normal"/>
        <w:rPr>
          <w:rFonts w:ascii="Times New Roman" w:hAnsi="Times New Roman" w:cs="Times New Roman"/>
          <w:lang w:eastAsia="en-US"/>
        </w:rPr>
      </w:pPr>
      <w:r>
        <w:rPr>
          <w:rFonts w:cs="Times New Roman" w:ascii="Times New Roman" w:hAnsi="Times New Roman"/>
          <w:lang w:eastAsia="en-US"/>
        </w:rPr>
        <w:t>The agreement allows the county more than one year to make any necessary adjustments to reflect this impact on their overall tax revenue base. However, PGE continues to own a large amount of property in the region, most notably at our Beaver Plant, and we will continue to have a significant positive impact to the region through property taxes on those properties.</w:t>
      </w:r>
    </w:p>
    <w:p>
      <w:pPr>
        <w:pStyle w:val="Normal"/>
        <w:rPr>
          <w:rFonts w:ascii="Times New Roman" w:hAnsi="Times New Roman" w:cs="Times New Roman"/>
          <w:lang w:eastAsia="en-US"/>
        </w:rPr>
      </w:pPr>
      <w:r>
        <w:rPr>
          <w:rFonts w:cs="Times New Roman" w:ascii="Times New Roman" w:hAnsi="Times New Roman"/>
          <w:lang w:eastAsia="en-US"/>
        </w:rPr>
      </w:r>
    </w:p>
    <w:p>
      <w:pPr>
        <w:pStyle w:val="Normal"/>
        <w:rPr>
          <w:rFonts w:ascii="Times New Roman" w:hAnsi="Times New Roman" w:cs="Times New Roman"/>
          <w:lang w:eastAsia="en-US"/>
        </w:rPr>
      </w:pPr>
      <w:r>
        <w:rPr>
          <w:rFonts w:cs="Times New Roman" w:ascii="Times New Roman" w:hAnsi="Times New Roman"/>
          <w:lang w:eastAsia="en-US"/>
        </w:rPr>
        <w:t xml:space="preserve">PGE will also continue to play a vital role in Columbia County and our commitment to supporting the communities there remains unchanged. </w:t>
      </w:r>
    </w:p>
    <w:p>
      <w:pPr>
        <w:pStyle w:val="Normal"/>
        <w:rPr>
          <w:rFonts w:ascii="Times New Roman" w:hAnsi="Times New Roman" w:cs="Times New Roman"/>
          <w:lang w:eastAsia="en-US"/>
        </w:rPr>
      </w:pPr>
      <w:r>
        <w:rPr>
          <w:rFonts w:cs="Times New Roman" w:ascii="Times New Roman" w:hAnsi="Times New Roman"/>
          <w:lang w:eastAsia="en-US"/>
        </w:rPr>
      </w:r>
    </w:p>
    <w:p>
      <w:pPr>
        <w:pStyle w:val="Normal"/>
        <w:rPr>
          <w:rFonts w:ascii="Times New Roman" w:hAnsi="Times New Roman" w:cs="Times New Roman"/>
          <w:lang w:eastAsia="en-US"/>
        </w:rPr>
      </w:pPr>
      <w:r>
        <w:rPr>
          <w:rFonts w:cs="Times New Roman" w:ascii="Times New Roman" w:hAnsi="Times New Roman"/>
          <w:lang w:eastAsia="en-US"/>
        </w:rPr>
        <w:t xml:space="preserve">We are working with state and local officials to establish a 500-acre state park on the site of the Trojan Plant, which will attract tourism and significant tourism dollars to the region. Additionally, PGE is a strong proponent of economic development in the region. This is evident in our support of projects like the Cascade Grain ethanol plant on PGE-owned land adjacent to our Beaver Plant, and the U.S. Gypsum project, where PGE will allow the new area employer with access to the KB natural gas pipeline co-owned by PGE and Northwest Natural. </w:t>
      </w:r>
    </w:p>
    <w:p>
      <w:pPr>
        <w:pStyle w:val="Normal"/>
        <w:rPr>
          <w:rFonts w:ascii="Times New Roman" w:hAnsi="Times New Roman" w:cs="Times New Roman"/>
          <w:lang w:eastAsia="en-US"/>
        </w:rPr>
      </w:pPr>
      <w:r>
        <w:rPr>
          <w:rFonts w:cs="Times New Roman" w:ascii="Times New Roman" w:hAnsi="Times New Roman"/>
          <w:lang w:eastAsia="en-US"/>
        </w:rPr>
      </w:r>
    </w:p>
    <w:p>
      <w:pPr>
        <w:pStyle w:val="Normal"/>
        <w:rPr>
          <w:rFonts w:ascii="Times New Roman" w:hAnsi="Times New Roman" w:cs="Times New Roman"/>
          <w:lang w:eastAsia="en-US"/>
        </w:rPr>
      </w:pPr>
      <w:r>
        <w:rPr>
          <w:rFonts w:cs="Times New Roman" w:ascii="Times New Roman" w:hAnsi="Times New Roman"/>
          <w:lang w:eastAsia="en-US"/>
        </w:rPr>
        <w:t>PGE will also continue to support our employees and retirees who live and work in the region through corporate sponsorships, and contributions to area non-profits supported by our employees through their volunteer efforts and personal contributions. Last year that support totaled more than $60,000.</w:t>
      </w:r>
    </w:p>
    <w:p>
      <w:pPr>
        <w:pStyle w:val="Normal"/>
        <w:rPr>
          <w:rFonts w:ascii="Times New Roman" w:hAnsi="Times New Roman" w:cs="Times New Roman"/>
          <w:lang w:eastAsia="en-US"/>
        </w:rPr>
      </w:pPr>
      <w:r>
        <w:rPr>
          <w:rFonts w:cs="Times New Roman" w:ascii="Times New Roman" w:hAnsi="Times New Roman"/>
          <w:lang w:eastAsia="en-US"/>
        </w:rPr>
      </w:r>
    </w:p>
    <w:p>
      <w:pPr>
        <w:pStyle w:val="Normal"/>
        <w:rPr>
          <w:rFonts w:ascii="Times New Roman" w:hAnsi="Times New Roman" w:cs="Times New Roman"/>
          <w:lang w:eastAsia="en-US"/>
        </w:rPr>
      </w:pPr>
      <w:r>
        <w:rPr>
          <w:rFonts w:cs="Times New Roman" w:ascii="Times New Roman" w:hAnsi="Times New Roman"/>
          <w:lang w:eastAsia="en-US"/>
        </w:rPr>
      </w:r>
    </w:p>
    <w:p>
      <w:pPr>
        <w:pStyle w:val="Heading1"/>
        <w:ind w:hanging="0" w:start="0"/>
        <w:rPr>
          <w:rFonts w:ascii="Times New Roman" w:hAnsi="Times New Roman" w:cs="Times New Roman"/>
        </w:rPr>
      </w:pPr>
      <w:r>
        <w:rPr>
          <w:rFonts w:cs="Times New Roman" w:ascii="Times New Roman" w:hAnsi="Times New Roman"/>
        </w:rPr>
        <w:t>What happens next?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In addition to PGE and CUB, and the OPUC staff,  Industrial Customers of Northwest Utilities (ICNU) has had input into the agreement and supports it.  The proposal now goes to the full commission for review. If approved, the agreement, and its benefits to customers, would take effect on October 1, 2000.</w:t>
      </w:r>
    </w:p>
    <w:p>
      <w:pPr>
        <w:pStyle w:val="Normal"/>
        <w:rPr>
          <w:rFonts w:ascii="Times New Roman" w:hAnsi="Times New Roman" w:cs="Times New Roman"/>
        </w:rPr>
      </w:pPr>
      <w:r>
        <w:rPr>
          <w:rFonts w:cs="Times New Roman" w:ascii="Times New Roman" w:hAnsi="Times New Roman"/>
        </w:rPr>
      </w:r>
    </w:p>
    <w:p>
      <w:pPr>
        <w:pStyle w:val="Heading4"/>
        <w:ind w:hanging="0" w:start="0"/>
        <w:jc w:val="start"/>
        <w:rPr/>
      </w:pPr>
      <w:r>
        <w:rPr/>
        <w:t>Trojan timeline</w:t>
      </w:r>
    </w:p>
    <w:p>
      <w:pPr>
        <w:pStyle w:val="Normal"/>
        <w:tabs>
          <w:tab w:val="clear" w:pos="720"/>
          <w:tab w:val="left" w:pos="6480" w:leader="none"/>
          <w:tab w:val="left" w:pos="6660" w:leader="none"/>
          <w:tab w:val="left" w:pos="6750" w:leader="none"/>
          <w:tab w:val="left" w:pos="6840" w:leader="none"/>
        </w:tabs>
        <w:rPr>
          <w:rFonts w:ascii="Times New Roman" w:hAnsi="Times New Roman" w:cs="Times New Roman"/>
        </w:rPr>
      </w:pPr>
      <w:r>
        <w:rPr>
          <w:rFonts w:cs="Times New Roman" w:ascii="Times New Roman" w:hAnsi="Times New Roman"/>
        </w:rPr>
        <w:t>1993 – Trojan Nuclear Plant closes, determined to be the lowest cost option for customers.</w:t>
      </w:r>
    </w:p>
    <w:p>
      <w:pPr>
        <w:pStyle w:val="WPDefaults"/>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1440" w:leader="none"/>
          <w:tab w:val="left" w:pos="-720" w:leader="none"/>
          <w:tab w:val="left" w:pos="6480" w:leader="none"/>
          <w:tab w:val="left" w:pos="6660" w:leader="none"/>
          <w:tab w:val="left" w:pos="6750" w:leader="none"/>
          <w:tab w:val="left" w:pos="6840" w:leader="none"/>
        </w:tabs>
        <w:rPr>
          <w:rFonts w:ascii="Times New Roman" w:hAnsi="Times New Roman" w:eastAsia="Times;Times New Roman" w:cs="Times New Roman"/>
        </w:rPr>
      </w:pPr>
      <w:r>
        <w:rPr>
          <w:rFonts w:eastAsia="Times;Times New Roman" w:cs="Times New Roman" w:ascii="Times New Roman" w:hAnsi="Times New Roman"/>
        </w:rPr>
      </w:r>
    </w:p>
    <w:p>
      <w:pPr>
        <w:pStyle w:val="Normal"/>
        <w:tabs>
          <w:tab w:val="left" w:pos="720" w:leader="none"/>
          <w:tab w:val="left" w:pos="6480" w:leader="none"/>
          <w:tab w:val="left" w:pos="6660" w:leader="none"/>
          <w:tab w:val="left" w:pos="6750" w:leader="none"/>
          <w:tab w:val="left" w:pos="6840" w:leader="none"/>
        </w:tabs>
        <w:ind w:hanging="720" w:start="720" w:end="0"/>
        <w:rPr>
          <w:rFonts w:ascii="Times New Roman" w:hAnsi="Times New Roman" w:cs="Times New Roman"/>
        </w:rPr>
      </w:pPr>
      <w:r>
        <w:rPr>
          <w:rFonts w:cs="Times New Roman" w:ascii="Times New Roman" w:hAnsi="Times New Roman"/>
        </w:rPr>
        <w:t>1995 – Final OPUC decision on customer payment for Trojan costs. The commission rules:</w:t>
      </w:r>
    </w:p>
    <w:p>
      <w:pPr>
        <w:pStyle w:val="Normal"/>
        <w:numPr>
          <w:ilvl w:val="0"/>
          <w:numId w:val="5"/>
        </w:numPr>
        <w:tabs>
          <w:tab w:val="left" w:pos="720" w:leader="none"/>
          <w:tab w:val="left" w:pos="1080" w:leader="none"/>
        </w:tabs>
        <w:ind w:hanging="360" w:start="1080" w:end="0"/>
        <w:rPr>
          <w:rFonts w:ascii="Times New Roman" w:hAnsi="Times New Roman" w:cs="Times New Roman"/>
        </w:rPr>
      </w:pPr>
      <w:r>
        <w:rPr>
          <w:rFonts w:cs="Times New Roman" w:ascii="Times New Roman" w:hAnsi="Times New Roman"/>
        </w:rPr>
        <w:t>PGE can only recover 87 percent of its investment from customers ($250.7 million)</w:t>
      </w:r>
    </w:p>
    <w:p>
      <w:pPr>
        <w:pStyle w:val="Normal"/>
        <w:numPr>
          <w:ilvl w:val="0"/>
          <w:numId w:val="5"/>
        </w:numPr>
        <w:tabs>
          <w:tab w:val="left" w:pos="720" w:leader="none"/>
          <w:tab w:val="left" w:pos="1080" w:leader="none"/>
        </w:tabs>
        <w:ind w:hanging="360" w:start="1080" w:end="0"/>
        <w:rPr>
          <w:rFonts w:ascii="Times New Roman" w:hAnsi="Times New Roman" w:cs="Times New Roman"/>
        </w:rPr>
      </w:pPr>
      <w:r>
        <w:rPr>
          <w:rFonts w:cs="Times New Roman" w:ascii="Times New Roman" w:hAnsi="Times New Roman"/>
        </w:rPr>
        <w:t>Because the collection is delayed over time, PGE may collect return on investment  (interest payments). This amount declines over time. The PUC says this is in the public interest because PGE’s decision to close Trojan saves customers money (estimated $35 million/year as of 1999), and utilities should have incentives to retire obsolete or inefficient equipment when it’s in the public interest.</w:t>
      </w:r>
    </w:p>
    <w:p>
      <w:pPr>
        <w:pStyle w:val="Normal"/>
        <w:tabs>
          <w:tab w:val="left" w:pos="720" w:leader="none"/>
        </w:tabs>
        <w:rPr>
          <w:rFonts w:ascii="Times New Roman" w:hAnsi="Times New Roman" w:cs="Times New Roman"/>
        </w:rPr>
      </w:pPr>
      <w:r>
        <w:rPr>
          <w:rFonts w:cs="Times New Roman" w:ascii="Times New Roman" w:hAnsi="Times New Roman"/>
        </w:rPr>
      </w:r>
    </w:p>
    <w:p>
      <w:pPr>
        <w:pStyle w:val="BodyTextIndent"/>
        <w:rPr/>
      </w:pPr>
      <w:r>
        <w:rPr/>
        <w:t xml:space="preserve">1998 – Oregon Court of Appeals, ruling on a series of earlier court cases, disallowed the return on investment, but says PGE can continue to collect return on investment from customers while the case is under appeal to the Oregon Supreme Court. </w:t>
      </w:r>
    </w:p>
    <w:p>
      <w:pPr>
        <w:pStyle w:val="BodyTextIndent"/>
        <w:rPr/>
      </w:pPr>
      <w:r>
        <w:rPr/>
      </w:r>
    </w:p>
    <w:p>
      <w:pPr>
        <w:pStyle w:val="BodyTextIndent"/>
        <w:rPr/>
      </w:pPr>
      <w:r>
        <w:rPr/>
        <w:t xml:space="preserve">1999 – Governor Kitzhaber signs HB 3220, making it clear that the OPUC </w:t>
      </w:r>
      <w:r>
        <w:rPr>
          <w:i/>
        </w:rPr>
        <w:t>does</w:t>
      </w:r>
      <w:r>
        <w:rPr/>
        <w:t xml:space="preserve"> have authority to allow utilities to collect return on investment when the OPUC determines it’s in the public interest.</w:t>
      </w:r>
    </w:p>
    <w:p>
      <w:pPr>
        <w:pStyle w:val="BodyTextIndent"/>
        <w:rPr/>
      </w:pPr>
      <w:r>
        <w:rPr/>
      </w:r>
    </w:p>
    <w:p>
      <w:pPr>
        <w:pStyle w:val="BodyTextIndent"/>
        <w:rPr/>
      </w:pPr>
      <w:r>
        <w:rPr/>
        <w:t xml:space="preserve">1999 – Opponents successfully place HB 3220 on the November 2000 ballot as </w:t>
      </w:r>
    </w:p>
    <w:p>
      <w:pPr>
        <w:pStyle w:val="BodyTextIndent"/>
        <w:rPr/>
      </w:pPr>
      <w:r>
        <w:rPr/>
        <w:tab/>
        <w:t>Ballot Measure 90.</w:t>
      </w:r>
    </w:p>
    <w:p>
      <w:pPr>
        <w:pStyle w:val="BodyTextIndent"/>
        <w:rPr/>
      </w:pPr>
      <w:r>
        <w:rPr/>
      </w:r>
    </w:p>
    <w:p>
      <w:pPr>
        <w:pStyle w:val="BodyTextIndent"/>
        <w:rPr/>
      </w:pPr>
      <w:r>
        <w:rPr/>
        <w:t>2000 – The Citizens Utility Board (CUB) initiates discussions with PGE leading to the agreement. The OPUC staff joins in crafting the plan.</w:t>
      </w:r>
    </w:p>
    <w:p>
      <w:pPr>
        <w:pStyle w:val="Normal"/>
        <w:tabs>
          <w:tab w:val="left" w:pos="720" w:leader="none"/>
          <w:tab w:val="left" w:pos="6480" w:leader="none"/>
          <w:tab w:val="left" w:pos="6660" w:leader="none"/>
          <w:tab w:val="left" w:pos="6750" w:leader="none"/>
          <w:tab w:val="left" w:pos="6840" w:leader="none"/>
        </w:tabs>
        <w:ind w:hanging="720" w:start="720" w:end="0"/>
        <w:rPr>
          <w:rFonts w:ascii="Times New Roman" w:hAnsi="Times New Roman" w:cs="Times New Roman"/>
        </w:rPr>
      </w:pPr>
      <w:r>
        <w:rPr>
          <w:rFonts w:cs="Times New Roman" w:ascii="Times New Roman" w:hAnsi="Times New Roman"/>
        </w:rPr>
        <w:tab/>
      </w:r>
    </w:p>
    <w:p>
      <w:pPr>
        <w:pStyle w:val="Normal"/>
        <w:ind w:start="4320" w:end="0"/>
        <w:rPr>
          <w:rFonts w:ascii="Times New Roman" w:hAnsi="Times New Roman" w:cs="Times New Roman"/>
        </w:rPr>
      </w:pPr>
      <w:r>
        <w:rPr>
          <w:rFonts w:cs="Times New Roman" w:ascii="Times New Roman" w:hAnsi="Times New Roman"/>
        </w:rPr>
        <w:t># #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auto"/>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Times New Roman" w:cs="Palatino;Book Antiqua"/>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rFonts w:ascii="Times New Roman" w:hAnsi="Times New Roman" w:eastAsia="Times New Roman" w:cs="Times New Roman"/>
    </w:rPr>
  </w:style>
  <w:style w:type="paragraph" w:styleId="Heading4">
    <w:name w:val="heading 4"/>
    <w:basedOn w:val="Normal"/>
    <w:next w:val="Normal"/>
    <w:qFormat/>
    <w:pPr>
      <w:keepNext w:val="true"/>
      <w:numPr>
        <w:ilvl w:val="3"/>
        <w:numId w:val="1"/>
      </w:numPr>
      <w:tabs>
        <w:tab w:val="clear" w:pos="720"/>
        <w:tab w:val="left" w:pos="6480" w:leader="none"/>
        <w:tab w:val="left" w:pos="6660" w:leader="none"/>
        <w:tab w:val="left" w:pos="6750" w:leader="none"/>
        <w:tab w:val="left" w:pos="6840" w:leader="none"/>
      </w:tabs>
      <w:jc w:val="both"/>
      <w:outlineLvl w:val="3"/>
    </w:pPr>
    <w:rPr>
      <w:rFonts w:ascii="Times New Roman" w:hAnsi="Times New Roman" w:eastAsia="Times New Roman" w:cs="Times New Roma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i/>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WPDefaults">
    <w:name w:val="WP Defaults"/>
    <w:basedOn w:val="Normal"/>
    <w:qFormat/>
    <w:p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rFonts w:eastAsia="Times New Roman"/>
    </w:rPr>
  </w:style>
  <w:style w:type="paragraph" w:styleId="BodyTextIndent">
    <w:name w:val="Body Text Indent"/>
    <w:basedOn w:val="Normal"/>
    <w:pPr>
      <w:tabs>
        <w:tab w:val="left" w:pos="720" w:leader="none"/>
      </w:tabs>
      <w:ind w:hanging="720" w:start="720" w:end="0"/>
    </w:pPr>
    <w:rPr>
      <w:rFonts w:ascii="Times New Roman" w:hAnsi="Times New Roman" w:cs="Times New Roma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2000-08-15T23:40:00Z</dcterms:created>
  <dc:creator>Gard Strang Edwards &amp; Aldridge</dc:creator>
  <dc:description/>
  <dc:language>en-CA</dc:language>
  <cp:lastModifiedBy>Mark Fryburg</cp:lastModifiedBy>
  <cp:lastPrinted>2000-08-11T12:59:00Z</cp:lastPrinted>
  <dcterms:modified xsi:type="dcterms:W3CDTF">2000-08-16T19:09:00Z</dcterms:modified>
  <cp:revision>10</cp:revision>
  <dc:subject/>
  <dc:title>Trojan Settlement</dc:title>
</cp:coreProperties>
</file>