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rPr>
      </w:pPr>
      <w:r>
        <w:rPr>
          <w:rFonts w:cs="Times New Roman" w:ascii="Times New Roman" w:hAnsi="Times New Roman"/>
          <w:b/>
        </w:rPr>
        <w:t>Trojan Settlement</w:t>
      </w:r>
    </w:p>
    <w:p>
      <w:pPr>
        <w:pStyle w:val="Normal"/>
        <w:rPr>
          <w:rFonts w:ascii="Times New Roman" w:hAnsi="Times New Roman" w:cs="Times New Roman"/>
          <w:b/>
        </w:rPr>
      </w:pPr>
      <w:r>
        <w:rPr>
          <w:rFonts w:cs="Times New Roman" w:ascii="Times New Roman" w:hAnsi="Times New Roman"/>
          <w:b/>
        </w:rPr>
        <w:t>News Media Fact Sheet and Q &amp; A</w:t>
      </w:r>
    </w:p>
    <w:p>
      <w:pPr>
        <w:pStyle w:val="Normal"/>
        <w:rPr/>
      </w:pPr>
      <w:r>
        <w:rPr>
          <w:rFonts w:cs="Times New Roman" w:ascii="Times New Roman" w:hAnsi="Times New Roman"/>
          <w:b/>
        </w:rPr>
        <w:t xml:space="preserve">8-11-00 </w:t>
      </w:r>
      <w:r>
        <w:rPr>
          <w:rFonts w:cs="Times New Roman" w:ascii="Times New Roman" w:hAnsi="Times New Roman"/>
        </w:rPr>
        <w:t>(G.S., Revised by M. Fryburg, Includes Baker edits of 8-11)</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D   R   A   F   T</w:t>
      </w:r>
    </w:p>
    <w:p>
      <w:pPr>
        <w:pStyle w:val="Normal"/>
        <w:jc w:val="center"/>
        <w:rPr>
          <w:rFonts w:ascii="Times New Roman" w:hAnsi="Times New Roman" w:cs="Times New Roman"/>
          <w:b/>
        </w:rPr>
      </w:pPr>
      <w:r>
        <w:rPr>
          <w:rFonts w:cs="Times New Roman" w:ascii="Times New Roman" w:hAnsi="Times New Roman"/>
          <w:b/>
        </w:rPr>
        <w:t>Proposed Agreement on Trojan Cost Recovery</w:t>
      </w:r>
    </w:p>
    <w:p>
      <w:pPr>
        <w:pStyle w:val="Normal"/>
        <w:rPr>
          <w:rFonts w:ascii="Times New Roman" w:hAnsi="Times New Roman" w:cs="Times New Roman"/>
          <w:b/>
        </w:rPr>
      </w:pPr>
      <w:r>
        <w:rPr>
          <w:rFonts w:cs="Times New Roman" w:ascii="Times New Roman" w:hAnsi="Times New Roman"/>
          <w:b/>
        </w:rPr>
      </w:r>
    </w:p>
    <w:p>
      <w:pPr>
        <w:pStyle w:val="Heading1"/>
        <w:ind w:hanging="0" w:start="0"/>
        <w:rPr>
          <w:rFonts w:ascii="Times New Roman" w:hAnsi="Times New Roman" w:cs="Times New Roman"/>
        </w:rPr>
      </w:pPr>
      <w:r>
        <w:rPr>
          <w:rFonts w:cs="Times New Roman" w:ascii="Times New Roman" w:hAnsi="Times New Roman"/>
        </w:rPr>
        <w:t>Summary</w:t>
      </w:r>
    </w:p>
    <w:p>
      <w:pPr>
        <w:pStyle w:val="Normal"/>
        <w:rPr>
          <w:rFonts w:ascii="Times New Roman" w:hAnsi="Times New Roman" w:cs="Times New Roman"/>
        </w:rPr>
      </w:pPr>
      <w:r>
        <w:rPr>
          <w:rFonts w:cs="Times New Roman" w:ascii="Times New Roman" w:hAnsi="Times New Roman"/>
        </w:rPr>
      </w:r>
    </w:p>
    <w:p>
      <w:pPr>
        <w:pStyle w:val="Normal"/>
        <w:numPr>
          <w:ilvl w:val="0"/>
          <w:numId w:val="4"/>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720" w:end="0"/>
        <w:rPr>
          <w:rFonts w:ascii="Times New Roman" w:hAnsi="Times New Roman" w:cs="Times New Roman"/>
        </w:rPr>
      </w:pPr>
      <w:r>
        <w:rPr>
          <w:rFonts w:cs="Times New Roman" w:ascii="Times New Roman" w:hAnsi="Times New Roman"/>
        </w:rPr>
        <w:t xml:space="preserve">The Citizens Utility Board (CUB), Portland General Electric (PGE) and the staff of the Oregon Public Utility Commission (OPUC) have reached an agreement designed to resolve major issues related to the retired Trojan Nuclear Power Plant.  It reduces costs for customers, while providing a way for PGE to recover its investment in the plant.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agreement addresses the issue of interest paid by PGE customers on the remaining value of the plant, which closed in 1993. The agreement would retire the remaining investment all at once.  That would automatically end all interest payments by customers. (This issue, called “return on investment” has been at the center of the debate on Trojan costs, involving a lawsuit now before the Supreme Court and Ballot Measure 90 in the fall election.)</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PGE shareholders will make a substantial contribution to taking the Trojan plant off the books, totaling $10 million dollars.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As a result of this agreement, PGE customers will save approximately $17 million on their bills.  Customers will no longer have the Trojan investment, and the interest on that investment, in their electric bills.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proposed agreement will be now be reviewed by the Oregon Public Utility Commission (OPUC). If approved, the agreement could take effect  October 1, 2000.</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History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Trojan Nuclear Plant was permanently closed in January 1993 for economic reasons.  The OPUC concurred that closing Trojan, with customers paying for part of the remaining costs, was the least cost option for those consumers.  Savings to customers have been estimated at $35 million per year.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Because the plant closing benefited consumers, the OPUC allowed PGE to continue recovering 87 percent of its investment through customer bills after the plant closed. (PGE absorbed the remaining 13 percent, a loss to the company of $37.5 million.) If the customers paid for that investment all at once, they’d have an immense price increase. So the commission decided to let the customers pay over time, also paying a return on the investment, as they would pay interest on a loan.  The commission decided the payments would continue through 2011.  For a number of years, debate has centered on whether PGE’s can collect a return on the remaining investment in Trojan.  </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did this agreement come about?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CUB, PGE and the OPUC staff looked for a way to take the investment costs out of customer bills. PGE’s remaining investment in Trojan is $188 million, an amount that is currently being paid by customers, over time, with interest.  But PGE is paying a similar, amount </w:t>
      </w:r>
      <w:r>
        <w:rPr>
          <w:rFonts w:cs="Times New Roman" w:ascii="Times New Roman" w:hAnsi="Times New Roman"/>
          <w:i/>
        </w:rPr>
        <w:t xml:space="preserve">to </w:t>
      </w:r>
      <w:r>
        <w:rPr>
          <w:rFonts w:cs="Times New Roman" w:ascii="Times New Roman" w:hAnsi="Times New Roman"/>
        </w:rPr>
        <w:t xml:space="preserve">customers, over time, with interest, from various accounts.  By applying those amounts against each other, they would, for the most part, cancel each other out.  The shortfall would be covered by PGE shareholders.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With no more investment on the books, customers would no longer have to pay the return on the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the agreement benefit customers, and how much will they save?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There are two types of benefits. First, customer bills would be lower by about $17 million over the 11 years in question.  (That’s a reduction of one percent.)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Second, everyone benefits by putting this contentious issue to rest. Other important energy issues, such as maintaining the region’s electric power supply and energy industry restructuring can now be addressed without the distraction of Trojan cost issues.</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Where is PGE coming up with the money to retire the remaining investment in Trojan?</w:t>
      </w:r>
    </w:p>
    <w:p>
      <w:pPr>
        <w:pStyle w:val="Normal"/>
        <w:rPr>
          <w:rFonts w:ascii="Times New Roman" w:hAnsi="Times New Roman" w:cs="Times New Roman"/>
        </w:rPr>
      </w:pPr>
      <w:r>
        <w:rPr>
          <w:rFonts w:cs="Times New Roman" w:ascii="Times New Roman" w:hAnsi="Times New Roman"/>
        </w:rPr>
      </w:r>
    </w:p>
    <w:p>
      <w:pPr>
        <w:pStyle w:val="Heading2"/>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The two largest credits that would be used to cover the Trojan investment are</w:t>
      </w:r>
    </w:p>
    <w:p>
      <w:pPr>
        <w:pStyle w:val="Heading2"/>
        <w:numPr>
          <w:ilvl w:val="0"/>
          <w:numId w:val="5"/>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$82.3 million in benefits from PGE's 1997 merger with Enron Corp. </w:t>
      </w:r>
    </w:p>
    <w:p>
      <w:pPr>
        <w:pStyle w:val="Normal"/>
        <w:numPr>
          <w:ilvl w:val="0"/>
          <w:numId w:val="7"/>
        </w:numPr>
        <w:rPr>
          <w:rFonts w:ascii="Times New Roman" w:hAnsi="Times New Roman" w:cs="Times New Roman"/>
        </w:rPr>
      </w:pPr>
      <w:r>
        <w:rPr>
          <w:rFonts w:cs="Times New Roman" w:ascii="Times New Roman" w:hAnsi="Times New Roman"/>
        </w:rPr>
        <w:t>$82.6 million from settlements of power contracts with two other utilities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rPr>
        <w:t>Those would be added to a variety of other, smaller credits to customers that are on the books.</w:t>
      </w:r>
    </w:p>
    <w:p>
      <w:pPr>
        <w:pStyle w:val="Heading1"/>
        <w:ind w:hanging="0" w:start="0"/>
        <w:rPr>
          <w:rFonts w:ascii="Times New Roman" w:hAnsi="Times New Roman" w:cs="Times New Roman"/>
          <w:b w:val="false"/>
        </w:rPr>
      </w:pPr>
      <w:r>
        <w:rPr>
          <w:rFonts w:cs="Times New Roman" w:ascii="Times New Roman" w:hAnsi="Times New Roman"/>
          <w:b w:val="false"/>
        </w:rPr>
      </w:r>
    </w:p>
    <w:p>
      <w:pPr>
        <w:pStyle w:val="Heading1"/>
        <w:ind w:hanging="0" w:start="0"/>
        <w:rPr>
          <w:rFonts w:ascii="Times New Roman" w:hAnsi="Times New Roman" w:cs="Times New Roman"/>
        </w:rPr>
      </w:pPr>
      <w:r>
        <w:rPr>
          <w:rFonts w:cs="Times New Roman" w:ascii="Times New Roman" w:hAnsi="Times New Roman"/>
        </w:rPr>
        <w:t>What does this agreement have to do with Ballot Measure 90?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1999, the state legislature passed and the governor signed the Retired Utility Plant Bill (HB 3220), reaffirming OPUC's authority to allow a utility to collect return on investment in a retired plant. The bill in effect affirmed the OPUC’s decision on Trojan costs.  That legislation was subsequently referred to Oregon voters and is on the November 2000 ballot (Ballot Measure 90).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Though Ballot Measure 90 will remain on the ballot, it will have less significance if the Trojan investment issue is removed from the debate.  PGE and CUB have agreed not to campaign on the measure.  CUB has also agreed to drop its portion of a lawsuit over the Trojan return on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this agreement affect decommissioning of Trojan?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doesn’t. Decommissioning is continuing toward the goal of restoring and reclaiming the site, making it safe for public use.  Customers will continue to pay for decommissioning.</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What happens next?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OPUC staff has had input into the agreement and supports it.  The proposal now goes to the full OPUC for review. If approved, the agreement, and its benefits to customers, would take effect on October 1, 2000.</w:t>
      </w:r>
    </w:p>
    <w:p>
      <w:pPr>
        <w:pStyle w:val="Normal"/>
        <w:rPr>
          <w:rFonts w:ascii="Times New Roman" w:hAnsi="Times New Roman" w:cs="Times New Roman"/>
        </w:rPr>
      </w:pPr>
      <w:r>
        <w:rPr>
          <w:rFonts w:cs="Times New Roman" w:ascii="Times New Roman" w:hAnsi="Times New Roman"/>
        </w:rPr>
      </w:r>
    </w:p>
    <w:p>
      <w:pPr>
        <w:pStyle w:val="Heading4"/>
        <w:ind w:hanging="0" w:start="0"/>
        <w:jc w:val="start"/>
        <w:rPr/>
      </w:pPr>
      <w:r>
        <w:rPr/>
        <w:t>Trojan timeline</w:t>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1993,  Trojan Nuclear Plant closes, as the lowest cost option for customers.</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1995, Final OPUC decision on customer payment for Trojan costs. The commission rules:</w:t>
      </w:r>
    </w:p>
    <w:p>
      <w:pPr>
        <w:pStyle w:val="Normal"/>
        <w:numPr>
          <w:ilvl w:val="0"/>
          <w:numId w:val="3"/>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PGE can only recover 87 percent of its investment from customers ($250.7 million)</w:t>
      </w:r>
    </w:p>
    <w:p>
      <w:pPr>
        <w:pStyle w:val="Normal"/>
        <w:numPr>
          <w:ilvl w:val="0"/>
          <w:numId w:val="3"/>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Because the collection is delayed over time, PGE may collect return on investment  (interest payments). This amount declines over time. The PUC says this is in the public interest because PGE’s decision to close Trojan saved customers money (estimated $35 million/year as of 1999), and utilities should have incentives to retire obsolete or inefficient equipment when it’s in the public interest.</w:t>
      </w:r>
    </w:p>
    <w:p>
      <w:pPr>
        <w:pStyle w:val="Normal"/>
        <w:tabs>
          <w:tab w:val="clear" w:pos="720"/>
          <w:tab w:val="left" w:pos="6480" w:leader="none"/>
          <w:tab w:val="left" w:pos="6660" w:leader="none"/>
          <w:tab w:val="left" w:pos="6750" w:leader="none"/>
          <w:tab w:val="left" w:pos="6840" w:leader="none"/>
        </w:tabs>
        <w:ind w:start="360" w:end="0"/>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 xml:space="preserve">1998, Oregon Court of Appeals, ruling on a series of earlier court cases, disallowed the return on investment, but says PGE can continue to collect return on investment from customers while the case is under appeal to the Oregon Supreme Court. </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 xml:space="preserve">1999, Governor Kitzhaber signs HB 3220, making it clear that the OPUC </w:t>
      </w:r>
      <w:r>
        <w:rPr>
          <w:rFonts w:cs="Times New Roman" w:ascii="Times New Roman" w:hAnsi="Times New Roman"/>
          <w:i/>
        </w:rPr>
        <w:t>does</w:t>
      </w:r>
      <w:r>
        <w:rPr>
          <w:rFonts w:cs="Times New Roman" w:ascii="Times New Roman" w:hAnsi="Times New Roman"/>
        </w:rPr>
        <w:t xml:space="preserve"> have authority to allow utilities to collect return on investment when the OPUC determines it’s in the public interest.</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1999, Opponents successfully place HB 3220 on the November 2000 ballot as Ballot Measure 90.</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2000, The Citizens Utility Board (CUB) initiates discussions with PGE leading to the agreement. The OPUC staff joins in crafting the plan.</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ab/>
      </w:r>
    </w:p>
    <w:p>
      <w:pPr>
        <w:pStyle w:val="Normal"/>
        <w:ind w:start="4320" w:end="0"/>
        <w:rPr>
          <w:rFonts w:ascii="Times New Roman" w:hAnsi="Times New Roman" w:cs="Times New Roman"/>
        </w:rPr>
      </w:pPr>
      <w:r>
        <w:rPr>
          <w:rFonts w:cs="Times New Roman" w:ascii="Times New Roman" w:hAnsi="Times New Roman"/>
        </w:rPr>
        <w:t>#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8"/>
      <w:numFmt w:val="bullet"/>
      <w:lvlText w:val="-"/>
      <w:lvlJc w:val="start"/>
      <w:pPr>
        <w:tabs>
          <w:tab w:val="num" w:pos="720"/>
        </w:tabs>
        <w:ind w:start="72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Times New Roman" w:cs="Palatino;Book Antiqu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eastAsia="Times New Roman" w:cs="Times New Roman"/>
    </w:rPr>
  </w:style>
  <w:style w:type="paragraph" w:styleId="Heading4">
    <w:name w:val="heading 4"/>
    <w:basedOn w:val="Normal"/>
    <w:next w:val="Normal"/>
    <w:qFormat/>
    <w:pPr>
      <w:keepNext w:val="true"/>
      <w:numPr>
        <w:ilvl w:val="3"/>
        <w:numId w:val="1"/>
      </w:numPr>
      <w:tabs>
        <w:tab w:val="clear" w:pos="720"/>
        <w:tab w:val="left" w:pos="6480" w:leader="none"/>
        <w:tab w:val="left" w:pos="6660" w:leader="none"/>
        <w:tab w:val="left" w:pos="6750" w:leader="none"/>
        <w:tab w:val="left" w:pos="6840" w:leader="none"/>
      </w:tabs>
      <w:jc w:val="both"/>
      <w:outlineLvl w:val="3"/>
    </w:pPr>
    <w:rPr>
      <w:rFonts w:ascii="Times New Roman" w:hAnsi="Times New Roman" w:eastAsia="Times New Roman" w:cs="Times New Roma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rFonts w:eastAsia="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2000-08-10T15:56:00Z</dcterms:created>
  <dc:creator>Gard Strang Edwards &amp; Aldridge</dc:creator>
  <dc:description/>
  <dc:language>en-CA</dc:language>
  <cp:lastModifiedBy>Mark Fryburg</cp:lastModifiedBy>
  <cp:lastPrinted>2000-08-11T12:59:00Z</cp:lastPrinted>
  <dcterms:modified xsi:type="dcterms:W3CDTF">2000-08-11T17:41:00Z</dcterms:modified>
  <cp:revision>32</cp:revision>
  <dc:subject/>
  <dc:title>Trojan Settlement</dc:title>
</cp:coreProperties>
</file>