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TrizecHahn Corporation, a _____________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Enron Corp., at any time, Enron Corp.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$10,000,000.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TRIZECHAHN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/mnt/main-storage/datasets/enron-docs/doc/TrizecHahn_Corp.doc</w:t>
      </w:r>
      <w:r>
        <w:rPr>
          <w:sz w:val="16"/>
          <w:rFonts w:cs="Arial Narrow" w:ascii="Arial Narrow" w:hAnsi="Arial Narrow"/>
        </w:rPr>
        <w:fldChar w:fldCharType="end"/>
      </w:r>
      <w:r>
        <w:rPr>
          <w:rFonts w:eastAsia="Arial Narrow" w:cs="Arial Narrow" w:ascii="Arial Narrow" w:hAnsi="Arial Narrow"/>
          <w:sz w:val="16"/>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the ratio of its Funded Debt  to its Net Worth is greater than 2 to 1; or (b) that ratio of its  EBITDA to Interest Expense is less than 2 to 1, or (c) Customner shall have senior unsecured long term debt that is rated by Standards &amp; Poor’s Corporation below BB+.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TrizecHahn Corporation</w:t>
      </w:r>
    </w:p>
    <w:p>
      <w:pPr>
        <w:pStyle w:val="Normal"/>
        <w:jc w:val="both"/>
        <w:rPr>
          <w:rFonts w:ascii="Arial Narrow" w:hAnsi="Arial Narrow" w:cs="Arial Narrow"/>
          <w:sz w:val="18"/>
        </w:rPr>
      </w:pPr>
      <w:r>
        <w:rPr>
          <w:rFonts w:cs="Arial Narrow" w:ascii="Arial Narrow" w:hAnsi="Arial Narrow"/>
          <w:sz w:val="18"/>
        </w:rPr>
        <w:t>BCE Place, 181 Bay Street, Suite 3900, Box 800</w:t>
      </w:r>
    </w:p>
    <w:p>
      <w:pPr>
        <w:pStyle w:val="Normal"/>
        <w:jc w:val="both"/>
        <w:rPr>
          <w:rFonts w:ascii="Arial Narrow" w:hAnsi="Arial Narrow" w:cs="Arial Narrow"/>
          <w:sz w:val="18"/>
        </w:rPr>
      </w:pPr>
      <w:r>
        <w:rPr>
          <w:rFonts w:cs="Arial Narrow" w:ascii="Arial Narrow" w:hAnsi="Arial Narrow"/>
          <w:sz w:val="18"/>
        </w:rPr>
        <w:t>Toronto, Ontario  M5J2T3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2001-06-11T17:20:00Z</dcterms:created>
  <dc:creator>dperlin</dc:creator>
  <dc:description/>
  <dc:language>en-CA</dc:language>
  <cp:lastModifiedBy>dperlin</cp:lastModifiedBy>
  <cp:lastPrinted>2001-06-11T14:55:00Z</cp:lastPrinted>
  <dcterms:modified xsi:type="dcterms:W3CDTF">2001-06-11T18:01:00Z</dcterms:modified>
  <cp:revision>5</cp:revision>
  <dc:subject/>
  <dc:title>ENFOLIO® MASTER FIRM PURCHASE/SALE AGREEMENT</dc:title>
</cp:coreProperties>
</file>