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pStyle w:val="Normal"/>
        <w:ind w:firstLine="720" w:start="720" w:end="0"/>
        <w:jc w:val="end"/>
        <w:rPr>
          <w:rFonts w:ascii="Arial" w:hAnsi="Arial" w:cs="Arial"/>
          <w:b/>
          <w:bCs/>
        </w:rPr>
      </w:pPr>
      <w:r>
        <w:fldChar w:fldCharType="begin">
          <w:ffData>
            <w:name w:val="Dropdown9"/>
            <w:enabled/>
            <w:ddList>
              <w:result w:val="1"/>
              <w:listEntry w:val="SELECT DEAL TYPE"/>
              <w:listEntry w:val="NEW DEAL"/>
              <w:listEntry w:val="SUBSEQUENT INVESTMENT"/>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Project Fireball</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New Vulcan Coal Holdings, LLC</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9"/>
                          <w:listEntry w:val="SELECT BUSINESS UNIT"/>
                          <w:listEntry w:val="Enron Americas"/>
                          <w:listEntry w:val="Enron Broadband Services"/>
                          <w:listEntry w:val="Enron Corp."/>
                          <w:listEntry w:val="Enron Energy Services"/>
                          <w:listEntry w:val="Enron Energy and Operational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Mike Beyer</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Energy-Coal</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1"/>
                        <w:enabled/>
                        <w:ddList>
                          <w:result w:val="1"/>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2"/>
                        <w:enabled/>
                        <w:ddList>
                          <w:result w:val="2"/>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August 21,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Underwriter:</w:t>
                  </w:r>
                </w:p>
              </w:tc>
              <w:tc>
                <w:tcPr>
                  <w:tcW w:w="2795" w:type="dxa"/>
                  <w:tcBorders/>
                </w:tcPr>
                <w:p>
                  <w:pPr>
                    <w:pStyle w:val="Normal"/>
                    <w:ind w:end="-738"/>
                    <w:rPr>
                      <w:rFonts w:ascii="Arial" w:hAnsi="Arial" w:cs="Arial"/>
                      <w:sz w:val="20"/>
                    </w:rPr>
                  </w:pPr>
                  <w:r>
                    <w:fldChar w:fldCharType="begin">
                      <w:ffData>
                        <w:name w:val="Dropdown7"/>
                        <w:enabled/>
                        <w:ddList>
                          <w:result w:val="2"/>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rPr>
                    <w:instrText xml:space="preserve"> FORMTEXT </w:instrText>
                  </w:r>
                  <w:r>
                    <w:rPr>
                      <w:rFonts w:cs="Arial" w:ascii="Arial" w:hAnsi="Arial"/>
                      <w:sz w:val="20"/>
                    </w:rPr>
                  </w:r>
                  <w:r>
                    <w:rPr>
                      <w:sz w:val="20"/>
                      <w:rFonts w:cs="Arial" w:ascii="Arial" w:hAnsi="Arial"/>
                    </w:rPr>
                    <w:fldChar w:fldCharType="separate"/>
                  </w:r>
                  <w:r>
                    <w:rPr>
                      <w:rFonts w:cs="Arial" w:ascii="Arial" w:hAnsi="Arial"/>
                      <w:sz w:val="20"/>
                    </w:rPr>
                    <w:t>Mark Bonney</w:t>
                  </w:r>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4"/>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15,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15,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10"/>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10"/>
            <w:bookmarkStart w:id="23" w:name="Check10"/>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BOARD APPROVAL STATUS"/>
                    <w:listEntry w:val="Pending     "/>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4" w:name="Dropdown1"/>
            <w:bookmarkStart w:id="25" w:name="Dropdown1"/>
            <w:bookmarkEnd w:id="25"/>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continuous"/>
          <w:pgSz w:w="12240" w:h="15840"/>
          <w:pgMar w:left="1008" w:right="1008" w:gutter="0" w:header="720" w:top="776" w:footer="720" w:bottom="776"/>
          <w:formProt w:val="true"/>
          <w:titlePg/>
          <w:textDirection w:val="lrTb"/>
          <w:docGrid w:type="default" w:linePitch="360" w:charSpace="0"/>
        </w:sectPr>
      </w:pP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u w:val="single"/>
        </w:rPr>
        <w:t>Approval Amount Requested:</w:t>
      </w:r>
    </w:p>
    <w:p>
      <w:pPr>
        <w:pStyle w:val="BodyTextIndent"/>
        <w:ind w:start="0" w:end="0"/>
        <w:rPr/>
      </w:pPr>
      <w:r>
        <w:rPr/>
        <w:t>The Coal Group of EGM seeks approval to submit, subject to Enron Office of the Chairman and Board of Directors approval, a bid for Vulcan Intermediary LLC, the holding company for Triton Coal Company LLC (Triton). The bid will consist of (i) $425 million</w:t>
      </w:r>
      <w:r>
        <w:rPr>
          <w:b/>
        </w:rPr>
        <w:t xml:space="preserve"> </w:t>
      </w:r>
      <w:r>
        <w:rPr/>
        <w:t>cash and (ii) a participation security tied to coal prices.  The participation security would provide that EGM pay Vulcan’s owners 50% of any price in excess of i) $8.50 per ton (for 8,800 BTU coal) and ii) $7.50 per ton (for 8,400 BTU coal).</w:t>
      </w:r>
    </w:p>
    <w:p>
      <w:pPr>
        <w:pStyle w:val="Normal"/>
        <w:jc w:val="both"/>
        <w:rPr>
          <w:rFonts w:ascii="Arial" w:hAnsi="Arial" w:cs="Arial"/>
          <w:b/>
          <w:sz w:val="20"/>
        </w:rPr>
      </w:pPr>
      <w:r>
        <w:rPr>
          <w:rFonts w:cs="Arial" w:ascii="Arial" w:hAnsi="Arial"/>
          <w:b/>
          <w:sz w:val="20"/>
        </w:rPr>
      </w:r>
    </w:p>
    <w:p>
      <w:pPr>
        <w:pStyle w:val="Normal"/>
        <w:jc w:val="both"/>
        <w:rPr/>
      </w:pPr>
      <w:r>
        <w:rPr>
          <w:rFonts w:cs="Arial" w:ascii="Arial" w:hAnsi="Arial"/>
          <w:sz w:val="20"/>
          <w:u w:val="single"/>
        </w:rPr>
        <w:t>Deal Description</w:t>
      </w:r>
      <w:r>
        <w:rPr>
          <w:rFonts w:cs="Arial" w:ascii="Arial" w:hAnsi="Arial"/>
          <w:sz w:val="20"/>
        </w:rPr>
        <w:t>:</w:t>
      </w:r>
    </w:p>
    <w:p>
      <w:pPr>
        <w:pStyle w:val="BodyTextIndent"/>
        <w:ind w:start="0" w:end="0"/>
        <w:rPr/>
      </w:pPr>
      <w:r>
        <w:rPr/>
        <w:t xml:space="preserve">Triton has been put on the market by its current equity owners; two to five additional bidders for these assets are expected by the business unit and Corporate Development.  Triton is a surface coal mining operation in the Powder River Basin (PRB) of Wyoming consisting of two surface coal mines, North Rochelle and Buckskin. The total productive capacity of the two mines is projected to be approximately 50 million tons per year. Development of North Rochelle was completed in December 2000, with yearly production of 27 million tons of super compliant coal (SO2 &lt; 0.55 #/MMBTU) expected in 2002. Buckskin has been in production since 1981. Production in 2000 from Buckskin totaled 16 million tons of compliant coal (SO2 &lt; 0.80 #/MMBTU) and is expected to increase to 23 million tons in 2002 and 25 million tons beginning in 2003. North Rochelle coal has an average heat content of 8,690 BTU per pound while Buckskin coal averages 8,300 BTU. </w:t>
      </w:r>
    </w:p>
    <w:p>
      <w:pPr>
        <w:pStyle w:val="Normal"/>
        <w:jc w:val="both"/>
        <w:rPr>
          <w:rFonts w:ascii="Arial" w:hAnsi="Arial" w:cs="Arial"/>
          <w:sz w:val="20"/>
        </w:rPr>
      </w:pPr>
      <w:r>
        <w:rPr>
          <w:rFonts w:cs="Arial" w:ascii="Arial" w:hAnsi="Arial"/>
          <w:sz w:val="20"/>
        </w:rPr>
      </w:r>
    </w:p>
    <w:p>
      <w:pPr>
        <w:pStyle w:val="BodyTextIndent"/>
        <w:ind w:start="0" w:end="0"/>
        <w:rPr/>
      </w:pPr>
      <w:r>
        <w:rPr>
          <w:u w:val="single"/>
        </w:rPr>
        <w:t>Strategic Importance</w:t>
      </w:r>
      <w:r>
        <w:rPr/>
        <w:t>:</w:t>
      </w:r>
    </w:p>
    <w:p>
      <w:pPr>
        <w:pStyle w:val="BodyTextIndent"/>
        <w:ind w:start="0" w:end="0"/>
        <w:rPr/>
      </w:pPr>
      <w:r>
        <w:rPr/>
        <w:t xml:space="preserve">The acquisition of Triton is strategically important to EGM’s coal business. The PRB is a significant coal-producing region, accounting for 30% of the total volume of coal produced in the U.S. in 2000. While it is located at a greater distance from most coal-burning generation facilities, coal from the PRB is advantageous from both a quality (particularly sulfur content) and cost basis.  PRB production is largely controlled by four major producers, Peabody Energy Corp., Arch Coal Inc., Kennecott Energy &amp; Coal Company, and RAG American Coal Holding, Inc. These four companies currently mine 88% of the region’s total production. Enron has been unable to purchase PRB coal from these producers on a reasonable basis. Acquisition of the Triton mines would give EGM a critical production hub in the consolidating PRB and would be a strategic move to further develop the OTC market for PRB coal.  It is expected that the bulk of the Triton’s production would be transferred to EGM’s coal trading desk as part of the price mitigation requirements expected by lenders to the entity acquiring Triton. </w:t>
      </w:r>
    </w:p>
    <w:p>
      <w:pPr>
        <w:pStyle w:val="BodyTextIndent"/>
        <w:ind w:start="0" w:end="0"/>
        <w:rPr/>
      </w:pPr>
      <w:r>
        <w:rPr/>
      </w:r>
    </w:p>
    <w:p>
      <w:pPr>
        <w:pStyle w:val="BodyTextIndent"/>
        <w:ind w:start="0" w:end="0"/>
        <w:rPr>
          <w:b/>
          <w:u w:val="single"/>
        </w:rPr>
      </w:pPr>
      <w:r>
        <w:rPr>
          <w:u w:val="single"/>
        </w:rPr>
        <w:t>Distinctions from Past Coal Group Transactions:</w:t>
      </w:r>
    </w:p>
    <w:p>
      <w:pPr>
        <w:pStyle w:val="BodyTextIndent"/>
        <w:ind w:start="0" w:end="0"/>
        <w:rPr/>
      </w:pPr>
      <w:r>
        <w:rPr/>
        <w:t xml:space="preserve">The proposed transaction differs from previous transactions in that (i) it would be the first total acquisition of a coal company by Enron, (ii) it would involve operating risk without an operating partner, and (iii) it is significantly larger than previous coal investments. It is intended that, on a post-closing basis, operating and/or strategic partners would be brought in to reduce operating and market risk, and to dilute Enron’s ownership.  </w:t>
      </w:r>
      <w:r>
        <w:br w:type="page"/>
      </w:r>
    </w:p>
    <w:p>
      <w:pPr>
        <w:pStyle w:val="Normal"/>
        <w:rPr/>
      </w:pPr>
      <w:r>
        <w:rPr/>
      </w:r>
    </w:p>
    <w:tbl>
      <w:tblPr>
        <w:tblW w:w="9814" w:type="dxa"/>
        <w:jc w:val="start"/>
        <w:tblInd w:w="108" w:type="dxa"/>
        <w:tblLayout w:type="fixed"/>
        <w:tblCellMar>
          <w:top w:w="0" w:type="dxa"/>
          <w:start w:w="108" w:type="dxa"/>
          <w:bottom w:w="0" w:type="dxa"/>
          <w:end w:w="108" w:type="dxa"/>
        </w:tblCellMar>
      </w:tblPr>
      <w:tblGrid>
        <w:gridCol w:w="5400"/>
        <w:gridCol w:w="4414"/>
      </w:tblGrid>
      <w:tr>
        <w:trPr>
          <w:trHeight w:val="342" w:hRule="atLeast"/>
        </w:trPr>
        <w:tc>
          <w:tcPr>
            <w:tcW w:w="5400" w:type="dxa"/>
            <w:tcBorders/>
          </w:tcPr>
          <w:p>
            <w:pPr>
              <w:pStyle w:val="Normal"/>
              <w:tabs>
                <w:tab w:val="clear" w:pos="720"/>
                <w:tab w:val="left" w:pos="7380" w:leader="none"/>
              </w:tabs>
              <w:rPr/>
            </w:pPr>
            <w:r>
              <w:rPr>
                <w:rFonts w:cs="Arial" w:ascii="Arial" w:hAnsi="Arial"/>
                <w:b/>
                <w:sz w:val="20"/>
                <w:u w:val="single"/>
              </w:rPr>
              <w:t xml:space="preserve">RETURN SUMMARY (000s)  </w:t>
            </w:r>
            <w:r>
              <w:rPr>
                <w:rFonts w:cs="Arial" w:ascii="Arial" w:hAnsi="Arial"/>
                <w:bCs/>
                <w:sz w:val="20"/>
                <w:u w:val="single"/>
              </w:rPr>
              <w:t>- *</w:t>
            </w:r>
          </w:p>
          <w:p>
            <w:pPr>
              <w:pStyle w:val="Normal"/>
              <w:tabs>
                <w:tab w:val="clear" w:pos="720"/>
                <w:tab w:val="left" w:pos="7380" w:leader="none"/>
              </w:tabs>
              <w:rPr>
                <w:rFonts w:ascii="Arial" w:hAnsi="Arial" w:cs="Arial"/>
                <w:b/>
                <w:sz w:val="20"/>
              </w:rPr>
            </w:pPr>
            <w:r>
              <w:rPr>
                <w:rFonts w:eastAsia="Arial" w:cs="Arial" w:ascii="Arial" w:hAnsi="Arial"/>
                <w:b/>
                <w:sz w:val="20"/>
              </w:rPr>
              <w:t xml:space="preserve">                                       </w:t>
            </w:r>
            <w:r>
              <w:rPr>
                <w:rFonts w:cs="Arial" w:ascii="Arial" w:hAnsi="Arial"/>
                <w:b/>
                <w:sz w:val="20"/>
                <w:u w:val="single"/>
              </w:rPr>
              <w:t>PV @ Cap. Price</w:t>
            </w:r>
            <w:r>
              <w:rPr>
                <w:rFonts w:cs="Arial" w:ascii="Arial" w:hAnsi="Arial"/>
                <w:b/>
                <w:sz w:val="20"/>
              </w:rPr>
              <w:t xml:space="preserve">     </w:t>
            </w:r>
            <w:r>
              <w:rPr>
                <w:rFonts w:cs="Arial" w:ascii="Arial" w:hAnsi="Arial"/>
                <w:b/>
                <w:sz w:val="20"/>
                <w:u w:val="single"/>
              </w:rPr>
              <w:t>IRR</w:t>
            </w:r>
          </w:p>
          <w:p>
            <w:pPr>
              <w:pStyle w:val="Normal"/>
              <w:tabs>
                <w:tab w:val="clear" w:pos="720"/>
                <w:tab w:val="left" w:pos="7380" w:leader="none"/>
              </w:tabs>
              <w:rPr>
                <w:rFonts w:ascii="Arial" w:hAnsi="Arial" w:cs="Arial"/>
                <w:b/>
                <w:sz w:val="20"/>
              </w:rPr>
            </w:pPr>
            <w:r>
              <w:rPr>
                <w:rFonts w:cs="Arial" w:ascii="Arial" w:hAnsi="Arial"/>
                <w:b/>
                <w:sz w:val="20"/>
              </w:rPr>
            </w:r>
          </w:p>
          <w:p>
            <w:pPr>
              <w:pStyle w:val="Normal"/>
              <w:tabs>
                <w:tab w:val="clear" w:pos="720"/>
                <w:tab w:val="left" w:pos="7380" w:leader="none"/>
              </w:tabs>
              <w:rPr>
                <w:rFonts w:ascii="Arial" w:hAnsi="Arial" w:cs="Arial"/>
                <w:b/>
                <w:sz w:val="20"/>
              </w:rPr>
            </w:pPr>
            <w:r>
              <w:rPr>
                <w:rFonts w:cs="Arial" w:ascii="Arial" w:hAnsi="Arial"/>
                <w:b/>
                <w:sz w:val="20"/>
              </w:rPr>
              <w:t>Cash Outflows                   ($425,000)</w:t>
            </w:r>
          </w:p>
          <w:p>
            <w:pPr>
              <w:pStyle w:val="Normal"/>
              <w:tabs>
                <w:tab w:val="clear" w:pos="720"/>
                <w:tab w:val="left" w:pos="7380" w:leader="none"/>
              </w:tabs>
              <w:rPr>
                <w:rFonts w:ascii="Arial" w:hAnsi="Arial" w:cs="Arial"/>
                <w:b/>
                <w:sz w:val="20"/>
              </w:rPr>
            </w:pPr>
            <w:r>
              <w:rPr>
                <w:rFonts w:cs="Arial" w:ascii="Arial" w:hAnsi="Arial"/>
                <w:b/>
                <w:sz w:val="20"/>
              </w:rPr>
              <w:t>Ongoing Cash flows          $331,842</w:t>
            </w:r>
          </w:p>
          <w:p>
            <w:pPr>
              <w:pStyle w:val="Heading1"/>
              <w:tabs>
                <w:tab w:val="clear" w:pos="720"/>
                <w:tab w:val="left" w:pos="7380" w:leader="none"/>
              </w:tabs>
              <w:ind w:hanging="0" w:start="0"/>
              <w:rPr>
                <w:rFonts w:ascii="Arial" w:hAnsi="Arial" w:cs="Arial"/>
                <w:i/>
                <w:i/>
                <w:szCs w:val="24"/>
                <w:u w:val="single"/>
              </w:rPr>
            </w:pPr>
            <w:r>
              <w:rPr>
                <w:rFonts w:cs="Arial" w:ascii="Arial" w:hAnsi="Arial"/>
                <w:szCs w:val="24"/>
              </w:rPr>
              <w:t>Terminal Value                   $39,567</w:t>
            </w:r>
          </w:p>
        </w:tc>
        <w:tc>
          <w:tcPr>
            <w:tcW w:w="4414" w:type="dxa"/>
            <w:tcBorders/>
          </w:tcPr>
          <w:p>
            <w:pPr>
              <w:pStyle w:val="Header"/>
              <w:widowControl/>
              <w:tabs>
                <w:tab w:val="clear" w:pos="4320"/>
                <w:tab w:val="clear" w:pos="8640"/>
                <w:tab w:val="left" w:pos="7380" w:leader="none"/>
              </w:tabs>
              <w:snapToGrid w:val="false"/>
              <w:rPr>
                <w:rFonts w:ascii="Arial" w:hAnsi="Arial" w:cs="Arial"/>
                <w:i/>
                <w:i/>
                <w:szCs w:val="24"/>
                <w:u w:val="single"/>
              </w:rPr>
            </w:pPr>
            <w:r>
              <w:rPr>
                <w:rFonts w:cs="Arial" w:ascii="Arial" w:hAnsi="Arial"/>
                <w:i/>
                <w:szCs w:val="24"/>
                <w:u w:val="single"/>
              </w:rPr>
            </w:r>
          </w:p>
          <w:p>
            <w:pPr>
              <w:pStyle w:val="Header"/>
              <w:widowControl/>
              <w:tabs>
                <w:tab w:val="clear" w:pos="4320"/>
                <w:tab w:val="clear" w:pos="8640"/>
                <w:tab w:val="left" w:pos="7380" w:leader="none"/>
              </w:tabs>
              <w:rPr/>
            </w:pPr>
            <w:r>
              <w:rPr>
                <w:rFonts w:eastAsia="Arial" w:cs="Arial" w:ascii="Arial" w:hAnsi="Arial"/>
                <w:b/>
                <w:bCs/>
                <w:szCs w:val="24"/>
              </w:rPr>
              <w:t xml:space="preserve">                                             </w:t>
            </w:r>
            <w:r>
              <w:rPr>
                <w:rFonts w:cs="Arial" w:ascii="Arial" w:hAnsi="Arial"/>
                <w:b/>
                <w:bCs/>
                <w:szCs w:val="24"/>
                <w:u w:val="single"/>
              </w:rPr>
              <w:t>Current Pricing</w:t>
            </w:r>
          </w:p>
          <w:p>
            <w:pPr>
              <w:pStyle w:val="Header"/>
              <w:widowControl/>
              <w:tabs>
                <w:tab w:val="clear" w:pos="4320"/>
                <w:tab w:val="clear" w:pos="8640"/>
                <w:tab w:val="left" w:pos="7380" w:leader="none"/>
              </w:tabs>
              <w:rPr>
                <w:rFonts w:ascii="Arial" w:hAnsi="Arial" w:cs="Arial"/>
                <w:b/>
                <w:bCs/>
                <w:szCs w:val="24"/>
              </w:rPr>
            </w:pPr>
            <w:r>
              <w:rPr>
                <w:rFonts w:cs="Arial" w:ascii="Arial" w:hAnsi="Arial"/>
                <w:b/>
                <w:bCs/>
                <w:szCs w:val="24"/>
              </w:rPr>
              <w:t>Risk Free                                        4.69%</w:t>
            </w:r>
          </w:p>
          <w:p>
            <w:pPr>
              <w:pStyle w:val="Heading1"/>
              <w:tabs>
                <w:tab w:val="clear" w:pos="720"/>
                <w:tab w:val="left" w:pos="7380" w:leader="none"/>
              </w:tabs>
              <w:ind w:hanging="0" w:start="0"/>
              <w:rPr>
                <w:rFonts w:ascii="Arial" w:hAnsi="Arial" w:cs="Arial"/>
                <w:bCs/>
                <w:szCs w:val="24"/>
              </w:rPr>
            </w:pPr>
            <w:r>
              <w:rPr>
                <w:rFonts w:cs="Arial" w:ascii="Arial" w:hAnsi="Arial"/>
                <w:bCs/>
                <w:szCs w:val="24"/>
              </w:rPr>
              <w:t>Equity Premium                             3.37%</w:t>
            </w:r>
          </w:p>
          <w:p>
            <w:pPr>
              <w:pStyle w:val="Normal"/>
              <w:tabs>
                <w:tab w:val="clear" w:pos="720"/>
                <w:tab w:val="left" w:pos="7380" w:leader="none"/>
              </w:tabs>
              <w:rPr>
                <w:rFonts w:ascii="Arial" w:hAnsi="Arial" w:cs="Arial"/>
                <w:sz w:val="20"/>
              </w:rPr>
            </w:pPr>
            <w:r>
              <w:rPr>
                <w:rFonts w:cs="Arial" w:ascii="Arial" w:hAnsi="Arial"/>
                <w:b/>
                <w:bCs/>
                <w:sz w:val="20"/>
              </w:rPr>
              <w:t>Transaction Specific                       6.94%</w:t>
            </w:r>
          </w:p>
        </w:tc>
      </w:tr>
    </w:tbl>
    <w:p>
      <w:pPr>
        <w:pStyle w:val="Normal"/>
        <w:tabs>
          <w:tab w:val="clear" w:pos="720"/>
          <w:tab w:val="left" w:pos="7380" w:leader="none"/>
        </w:tabs>
        <w:rPr>
          <w:rFonts w:ascii="Arial" w:hAnsi="Arial" w:cs="Arial"/>
          <w:sz w:val="20"/>
        </w:rPr>
      </w:pPr>
      <w:r>
        <w:rPr>
          <w:rFonts w:cs="Arial" w:ascii="Arial" w:hAnsi="Arial"/>
          <w:sz w:val="20"/>
        </w:rPr>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3060"/>
        <w:gridCol w:w="990"/>
      </w:tblGrid>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 w:val="left" w:pos="7380" w:leader="none"/>
              </w:tabs>
              <w:ind w:start="0" w:end="-217"/>
              <w:rPr>
                <w:rFonts w:ascii="Arial" w:hAnsi="Arial" w:cs="Arial"/>
              </w:rPr>
            </w:pPr>
            <w:r>
              <w:rPr>
                <w:rFonts w:cs="Arial" w:ascii="Arial" w:hAnsi="Arial"/>
              </w:rPr>
              <w:t>Total NPV</w:t>
            </w:r>
          </w:p>
        </w:tc>
        <w:tc>
          <w:tcPr>
            <w:tcW w:w="1260" w:type="dxa"/>
            <w:tcBorders>
              <w:top w:val="single" w:sz="12" w:space="0" w:color="000000"/>
              <w:bottom w:val="single" w:sz="12" w:space="0" w:color="000000"/>
            </w:tcBorders>
          </w:tcPr>
          <w:p>
            <w:pPr>
              <w:pStyle w:val="Normal"/>
              <w:tabs>
                <w:tab w:val="clear" w:pos="720"/>
                <w:tab w:val="left" w:pos="7380" w:leader="none"/>
              </w:tabs>
              <w:jc w:val="center"/>
              <w:rPr>
                <w:rFonts w:ascii="Arial" w:hAnsi="Arial" w:cs="Arial"/>
                <w:b/>
                <w:sz w:val="20"/>
              </w:rPr>
            </w:pPr>
            <w:r>
              <w:rPr>
                <w:rFonts w:cs="Arial" w:ascii="Arial" w:hAnsi="Arial"/>
                <w:b/>
                <w:sz w:val="20"/>
              </w:rPr>
              <w:t>($53,591)</w:t>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 w:val="left" w:pos="7380" w:leader="none"/>
              </w:tabs>
              <w:ind w:start="0" w:end="-108"/>
              <w:jc w:val="center"/>
              <w:rPr>
                <w:rFonts w:ascii="Arial" w:hAnsi="Arial" w:cs="Arial"/>
              </w:rPr>
            </w:pPr>
            <w:r>
              <w:rPr>
                <w:rFonts w:cs="Arial" w:ascii="Arial" w:hAnsi="Arial"/>
              </w:rPr>
              <w:t>11.9% IRR</w:t>
            </w:r>
          </w:p>
        </w:tc>
        <w:tc>
          <w:tcPr>
            <w:tcW w:w="540" w:type="dxa"/>
            <w:tcBorders/>
          </w:tcPr>
          <w:p>
            <w:pPr>
              <w:pStyle w:val="Heading9"/>
              <w:widowControl/>
              <w:tabs>
                <w:tab w:val="left" w:pos="2870" w:leader="none"/>
                <w:tab w:val="left" w:pos="3617" w:leader="none"/>
                <w:tab w:val="left" w:pos="7380" w:leader="none"/>
              </w:tabs>
              <w:snapToGrid w:val="false"/>
              <w:ind w:start="0" w:end="-108"/>
              <w:rPr>
                <w:rFonts w:ascii="Arial" w:hAnsi="Arial" w:cs="Arial"/>
              </w:rPr>
            </w:pPr>
            <w:r>
              <w:rPr>
                <w:rFonts w:cs="Arial" w:ascii="Arial" w:hAnsi="Arial"/>
              </w:rPr>
            </w:r>
          </w:p>
        </w:tc>
        <w:tc>
          <w:tcPr>
            <w:tcW w:w="3060" w:type="dxa"/>
            <w:tcBorders>
              <w:top w:val="single" w:sz="12" w:space="0" w:color="000000"/>
              <w:start w:val="single" w:sz="4" w:space="0" w:color="000000"/>
              <w:bottom w:val="single" w:sz="12" w:space="0" w:color="000000"/>
            </w:tcBorders>
          </w:tcPr>
          <w:p>
            <w:pPr>
              <w:pStyle w:val="Heading9"/>
              <w:widowControl/>
              <w:tabs>
                <w:tab w:val="left" w:pos="2870" w:leader="none"/>
                <w:tab w:val="left" w:pos="3617" w:leader="none"/>
                <w:tab w:val="left" w:pos="7380" w:leader="none"/>
              </w:tabs>
              <w:ind w:start="0" w:end="72"/>
              <w:rPr>
                <w:rFonts w:ascii="Arial" w:hAnsi="Arial" w:cs="Arial"/>
              </w:rPr>
            </w:pPr>
            <w:r>
              <w:rPr>
                <w:rFonts w:cs="Arial" w:ascii="Arial" w:hAnsi="Arial"/>
              </w:rPr>
              <w:t>RAC CAPITAL PRICE:</w:t>
            </w:r>
          </w:p>
        </w:tc>
        <w:tc>
          <w:tcPr>
            <w:tcW w:w="990" w:type="dxa"/>
            <w:tcBorders>
              <w:top w:val="single" w:sz="12" w:space="0" w:color="000000"/>
              <w:bottom w:val="single" w:sz="12" w:space="0" w:color="000000"/>
              <w:end w:val="single" w:sz="12" w:space="0" w:color="000000"/>
            </w:tcBorders>
          </w:tcPr>
          <w:p>
            <w:pPr>
              <w:pStyle w:val="Normal"/>
              <w:tabs>
                <w:tab w:val="clear" w:pos="720"/>
                <w:tab w:val="left" w:pos="432" w:leader="none"/>
                <w:tab w:val="left" w:pos="7380" w:leader="none"/>
              </w:tabs>
              <w:ind w:end="-63"/>
              <w:jc w:val="end"/>
              <w:rPr>
                <w:rFonts w:ascii="Arial" w:hAnsi="Arial" w:cs="Arial"/>
                <w:b/>
                <w:sz w:val="20"/>
              </w:rPr>
            </w:pPr>
            <w:r>
              <w:rPr>
                <w:rFonts w:cs="Arial" w:ascii="Arial" w:hAnsi="Arial"/>
                <w:b/>
                <w:sz w:val="20"/>
              </w:rPr>
              <w:t>15%</w:t>
            </w:r>
          </w:p>
        </w:tc>
      </w:tr>
    </w:tbl>
    <w:p>
      <w:pPr>
        <w:pStyle w:val="Normal"/>
        <w:tabs>
          <w:tab w:val="clear" w:pos="720"/>
          <w:tab w:val="left" w:pos="7380" w:leader="none"/>
        </w:tabs>
        <w:rPr>
          <w:rFonts w:ascii="Arial" w:hAnsi="Arial" w:cs="Arial"/>
          <w:sz w:val="20"/>
        </w:rPr>
      </w:pPr>
      <w:r>
        <w:rPr>
          <w:rFonts w:cs="Arial" w:ascii="Arial" w:hAnsi="Arial"/>
          <w:sz w:val="20"/>
        </w:rPr>
      </w:r>
    </w:p>
    <w:p>
      <w:pPr>
        <w:pStyle w:val="Header"/>
        <w:widowControl/>
        <w:tabs>
          <w:tab w:val="clear" w:pos="4320"/>
          <w:tab w:val="clear" w:pos="8640"/>
          <w:tab w:val="left" w:pos="7380" w:leader="none"/>
        </w:tabs>
        <w:rPr>
          <w:rFonts w:ascii="Arial" w:hAnsi="Arial" w:cs="Arial"/>
          <w:sz w:val="20"/>
          <w:szCs w:val="24"/>
        </w:rPr>
      </w:pPr>
      <w:r>
        <w:rPr>
          <w:rFonts w:cs="Arial" w:ascii="Arial" w:hAnsi="Arial"/>
          <w:sz w:val="20"/>
          <w:szCs w:val="24"/>
        </w:rPr>
      </w:r>
    </w:p>
    <w:p>
      <w:pPr>
        <w:pStyle w:val="Header"/>
        <w:widowControl/>
        <w:tabs>
          <w:tab w:val="clear" w:pos="4320"/>
          <w:tab w:val="clear" w:pos="8640"/>
          <w:tab w:val="left" w:pos="7380" w:leader="none"/>
        </w:tabs>
        <w:rPr>
          <w:rFonts w:ascii="Arial" w:hAnsi="Arial" w:cs="Arial"/>
          <w:szCs w:val="24"/>
        </w:rPr>
      </w:pPr>
      <w:r>
        <w:rPr>
          <w:rFonts w:cs="Arial" w:ascii="Arial" w:hAnsi="Arial"/>
          <w:szCs w:val="24"/>
        </w:rPr>
      </w:r>
    </w:p>
    <w:p>
      <w:pPr>
        <w:pStyle w:val="Header"/>
        <w:widowControl/>
        <w:tabs>
          <w:tab w:val="clear" w:pos="4320"/>
          <w:tab w:val="clear" w:pos="8640"/>
          <w:tab w:val="left" w:pos="7380" w:leader="none"/>
        </w:tabs>
        <w:rPr>
          <w:rFonts w:ascii="Arial" w:hAnsi="Arial" w:cs="Arial"/>
          <w:szCs w:val="24"/>
        </w:rPr>
      </w:pPr>
      <w:r>
        <w:rPr>
          <w:rFonts w:cs="Arial" w:ascii="Arial" w:hAnsi="Arial"/>
          <w:szCs w:val="24"/>
        </w:rPr>
      </w:r>
    </w:p>
    <w:p>
      <w:pPr>
        <w:pStyle w:val="Normal"/>
        <w:tabs>
          <w:tab w:val="clear" w:pos="720"/>
          <w:tab w:val="left" w:pos="7380" w:leader="none"/>
        </w:tabs>
        <w:rPr>
          <w:rFonts w:ascii="Arial" w:hAnsi="Arial" w:cs="Arial"/>
          <w:b/>
          <w:bCs/>
          <w:sz w:val="20"/>
          <w:u w:val="single"/>
        </w:rPr>
      </w:pPr>
      <w:r>
        <w:rPr>
          <w:rFonts w:cs="Arial" w:ascii="Arial" w:hAnsi="Arial"/>
          <w:b/>
          <w:bCs/>
          <w:sz w:val="20"/>
          <w:u w:val="single"/>
        </w:rPr>
        <w:t>RESULTS of COAL PRICE SENSITIVITY CASES -  *</w:t>
      </w:r>
    </w:p>
    <w:p>
      <w:pPr>
        <w:pStyle w:val="Normal"/>
        <w:tabs>
          <w:tab w:val="clear" w:pos="720"/>
          <w:tab w:val="left" w:pos="7380" w:leader="none"/>
        </w:tabs>
        <w:rPr>
          <w:rFonts w:ascii="Arial" w:hAnsi="Arial" w:cs="Arial"/>
          <w:b/>
          <w:bCs/>
          <w:sz w:val="20"/>
          <w:u w:val="single"/>
        </w:rPr>
      </w:pPr>
      <w:r>
        <w:rPr>
          <w:rFonts w:cs="Arial" w:ascii="Arial" w:hAnsi="Arial"/>
          <w:b/>
          <w:bCs/>
          <w:sz w:val="20"/>
          <w:u w:val="single"/>
        </w:rPr>
      </w:r>
    </w:p>
    <w:tbl>
      <w:tblPr>
        <w:tblW w:w="7128" w:type="dxa"/>
        <w:jc w:val="start"/>
        <w:tblInd w:w="0" w:type="dxa"/>
        <w:tblLayout w:type="fixed"/>
        <w:tblCellMar>
          <w:top w:w="0" w:type="dxa"/>
          <w:start w:w="108" w:type="dxa"/>
          <w:bottom w:w="0" w:type="dxa"/>
          <w:end w:w="108" w:type="dxa"/>
        </w:tblCellMar>
      </w:tblPr>
      <w:tblGrid>
        <w:gridCol w:w="2808"/>
        <w:gridCol w:w="1980"/>
        <w:gridCol w:w="2340"/>
      </w:tblGrid>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jc w:val="center"/>
              <w:rPr>
                <w:rFonts w:ascii="Arial" w:hAnsi="Arial" w:cs="Arial"/>
                <w:b/>
                <w:bCs/>
                <w:sz w:val="20"/>
                <w:u w:val="single"/>
              </w:rPr>
            </w:pPr>
            <w:r>
              <w:rPr>
                <w:rFonts w:cs="Arial" w:ascii="Arial" w:hAnsi="Arial"/>
                <w:b/>
                <w:bCs/>
                <w:sz w:val="20"/>
                <w:u w:val="single"/>
              </w:rPr>
              <w:t>Case</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jc w:val="center"/>
              <w:rPr/>
            </w:pPr>
            <w:hyperlink r:id="rId6">
              <w:r>
                <w:rPr>
                  <w:rStyle w:val="Hyperlink"/>
                  <w:rFonts w:cs="Arial" w:ascii="Arial" w:hAnsi="Arial"/>
                  <w:b/>
                  <w:bCs/>
                  <w:sz w:val="20"/>
                </w:rPr>
                <w:t>NPV@15%</w:t>
              </w:r>
            </w:hyperlink>
            <w:r>
              <w:rPr>
                <w:rFonts w:cs="Arial" w:ascii="Arial" w:hAnsi="Arial"/>
                <w:b/>
                <w:bCs/>
                <w:sz w:val="20"/>
                <w:u w:val="single"/>
              </w:rPr>
              <w:t xml:space="preserve"> (000s)</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jc w:val="center"/>
              <w:rPr>
                <w:rFonts w:ascii="Arial" w:hAnsi="Arial" w:cs="Arial"/>
                <w:b/>
                <w:bCs/>
                <w:sz w:val="20"/>
                <w:u w:val="single"/>
              </w:rPr>
            </w:pPr>
            <w:r>
              <w:rPr>
                <w:rFonts w:cs="Arial" w:ascii="Arial" w:hAnsi="Arial"/>
                <w:b/>
                <w:bCs/>
                <w:sz w:val="20"/>
                <w:u w:val="single"/>
              </w:rPr>
              <w:t>IRR-%</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rPr>
                <w:rFonts w:ascii="Arial" w:hAnsi="Arial" w:cs="Arial"/>
                <w:sz w:val="20"/>
              </w:rPr>
            </w:pPr>
            <w:r>
              <w:rPr>
                <w:rFonts w:cs="Arial" w:ascii="Arial" w:hAnsi="Arial"/>
                <w:sz w:val="20"/>
              </w:rPr>
              <w:t>Base</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jc w:val="center"/>
              <w:rPr>
                <w:rFonts w:ascii="Arial" w:hAnsi="Arial" w:cs="Arial"/>
                <w:sz w:val="20"/>
              </w:rPr>
            </w:pPr>
            <w:r>
              <w:rPr>
                <w:rFonts w:cs="Arial" w:ascii="Arial" w:hAnsi="Arial"/>
                <w:sz w:val="20"/>
              </w:rPr>
              <w:t>$ 371</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jc w:val="center"/>
              <w:rPr>
                <w:rFonts w:ascii="Arial" w:hAnsi="Arial" w:cs="Arial"/>
                <w:sz w:val="20"/>
              </w:rPr>
            </w:pPr>
            <w:r>
              <w:rPr>
                <w:rFonts w:cs="Arial" w:ascii="Arial" w:hAnsi="Arial"/>
                <w:sz w:val="20"/>
              </w:rPr>
              <w:t>12</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rPr>
                <w:rFonts w:ascii="Arial" w:hAnsi="Arial" w:cs="Arial"/>
                <w:sz w:val="20"/>
              </w:rPr>
            </w:pPr>
            <w:r>
              <w:rPr>
                <w:rFonts w:cs="Arial" w:ascii="Arial" w:hAnsi="Arial"/>
                <w:sz w:val="20"/>
              </w:rPr>
              <w:t>-10% Parallel Price Shift</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jc w:val="center"/>
              <w:rPr>
                <w:rFonts w:ascii="Arial" w:hAnsi="Arial" w:cs="Arial"/>
                <w:sz w:val="20"/>
              </w:rPr>
            </w:pPr>
            <w:r>
              <w:rPr>
                <w:rFonts w:cs="Arial" w:ascii="Arial" w:hAnsi="Arial"/>
                <w:sz w:val="20"/>
              </w:rPr>
              <w:t>$ 273</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jc w:val="center"/>
              <w:rPr>
                <w:rFonts w:ascii="Arial" w:hAnsi="Arial" w:cs="Arial"/>
                <w:sz w:val="20"/>
              </w:rPr>
            </w:pPr>
            <w:r>
              <w:rPr>
                <w:rFonts w:cs="Arial" w:ascii="Arial" w:hAnsi="Arial"/>
                <w:sz w:val="20"/>
              </w:rPr>
              <w:t>4</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rPr>
                <w:rFonts w:ascii="Arial" w:hAnsi="Arial" w:cs="Arial"/>
                <w:sz w:val="20"/>
              </w:rPr>
            </w:pPr>
            <w:r>
              <w:rPr>
                <w:rFonts w:cs="Arial" w:ascii="Arial" w:hAnsi="Arial"/>
                <w:sz w:val="20"/>
              </w:rPr>
              <w:t>-25% Parallel Price Shift</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jc w:val="center"/>
              <w:rPr>
                <w:rFonts w:ascii="Arial" w:hAnsi="Arial" w:cs="Arial"/>
                <w:sz w:val="20"/>
              </w:rPr>
            </w:pPr>
            <w:r>
              <w:rPr>
                <w:rFonts w:cs="Arial" w:ascii="Arial" w:hAnsi="Arial"/>
                <w:sz w:val="20"/>
              </w:rPr>
              <w:t>$ 141</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jc w:val="center"/>
              <w:rPr>
                <w:rFonts w:ascii="Arial" w:hAnsi="Arial" w:cs="Arial"/>
                <w:sz w:val="20"/>
              </w:rPr>
            </w:pPr>
            <w:r>
              <w:rPr>
                <w:rFonts w:cs="Arial" w:ascii="Arial" w:hAnsi="Arial"/>
                <w:sz w:val="20"/>
              </w:rPr>
              <w:t>-31</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rPr>
                <w:rFonts w:ascii="Arial" w:hAnsi="Arial" w:cs="Arial"/>
                <w:sz w:val="20"/>
              </w:rPr>
            </w:pPr>
            <w:r>
              <w:rPr>
                <w:rFonts w:cs="Arial" w:ascii="Arial" w:hAnsi="Arial"/>
                <w:sz w:val="20"/>
              </w:rPr>
              <w:t>+10% Parallel Price Shift</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jc w:val="center"/>
              <w:rPr>
                <w:rFonts w:ascii="Arial" w:hAnsi="Arial" w:cs="Arial"/>
                <w:sz w:val="20"/>
              </w:rPr>
            </w:pPr>
            <w:r>
              <w:rPr>
                <w:rFonts w:cs="Arial" w:ascii="Arial" w:hAnsi="Arial"/>
                <w:sz w:val="20"/>
              </w:rPr>
              <w:t>$ 470</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jc w:val="center"/>
              <w:rPr>
                <w:rFonts w:ascii="Arial" w:hAnsi="Arial" w:cs="Arial"/>
                <w:sz w:val="20"/>
              </w:rPr>
            </w:pPr>
            <w:r>
              <w:rPr>
                <w:rFonts w:cs="Arial" w:ascii="Arial" w:hAnsi="Arial"/>
                <w:sz w:val="20"/>
              </w:rPr>
              <w:t>17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rPr>
                <w:rFonts w:ascii="Arial" w:hAnsi="Arial" w:cs="Arial"/>
                <w:sz w:val="20"/>
              </w:rPr>
            </w:pPr>
            <w:r>
              <w:rPr>
                <w:rFonts w:cs="Arial" w:ascii="Arial" w:hAnsi="Arial"/>
                <w:sz w:val="20"/>
              </w:rPr>
              <w:t>+25% Parallel Price Shift</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jc w:val="center"/>
              <w:rPr>
                <w:rFonts w:ascii="Arial" w:hAnsi="Arial" w:cs="Arial"/>
                <w:sz w:val="20"/>
              </w:rPr>
            </w:pPr>
            <w:r>
              <w:rPr>
                <w:rFonts w:cs="Arial" w:ascii="Arial" w:hAnsi="Arial"/>
                <w:sz w:val="20"/>
              </w:rPr>
              <w:t>$ 617</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jc w:val="center"/>
              <w:rPr>
                <w:rFonts w:ascii="Arial" w:hAnsi="Arial" w:cs="Arial"/>
                <w:sz w:val="20"/>
              </w:rPr>
            </w:pPr>
            <w:r>
              <w:rPr>
                <w:rFonts w:cs="Arial" w:ascii="Arial" w:hAnsi="Arial"/>
                <w:sz w:val="20"/>
              </w:rPr>
              <w:t>23</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snapToGrid w:val="false"/>
              <w:rPr>
                <w:rFonts w:ascii="Arial" w:hAnsi="Arial" w:cs="Arial"/>
                <w:sz w:val="20"/>
              </w:rPr>
            </w:pPr>
            <w:r>
              <w:rPr>
                <w:rFonts w:cs="Arial" w:ascii="Arial" w:hAnsi="Arial"/>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snapToGrid w:val="false"/>
              <w:jc w:val="center"/>
              <w:rPr>
                <w:rFonts w:ascii="Arial" w:hAnsi="Arial" w:cs="Arial"/>
                <w:sz w:val="20"/>
              </w:rPr>
            </w:pPr>
            <w:r>
              <w:rPr>
                <w:rFonts w:cs="Arial" w:ascii="Arial" w:hAnsi="Arial"/>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380" w:leader="none"/>
              </w:tabs>
              <w:snapToGrid w:val="false"/>
              <w:jc w:val="center"/>
              <w:rPr>
                <w:rFonts w:ascii="Arial" w:hAnsi="Arial" w:cs="Arial"/>
                <w:sz w:val="20"/>
              </w:rPr>
            </w:pPr>
            <w:r>
              <w:rPr>
                <w:rFonts w:cs="Arial" w:ascii="Arial" w:hAnsi="Arial"/>
                <w:sz w:val="20"/>
              </w:rPr>
            </w:r>
          </w:p>
        </w:tc>
      </w:tr>
    </w:tbl>
    <w:p>
      <w:pPr>
        <w:pStyle w:val="Normal"/>
        <w:tabs>
          <w:tab w:val="clear" w:pos="720"/>
          <w:tab w:val="left" w:pos="7380" w:leader="none"/>
        </w:tabs>
        <w:rPr>
          <w:rFonts w:ascii="Arial" w:hAnsi="Arial" w:cs="Arial"/>
          <w:sz w:val="20"/>
        </w:rPr>
      </w:pPr>
      <w:r>
        <w:rPr>
          <w:rFonts w:cs="Arial" w:ascii="Arial" w:hAnsi="Arial"/>
          <w:sz w:val="20"/>
        </w:rPr>
      </w:r>
    </w:p>
    <w:p>
      <w:pPr>
        <w:pStyle w:val="Normal"/>
        <w:tabs>
          <w:tab w:val="clear" w:pos="720"/>
          <w:tab w:val="left" w:pos="7380" w:leader="none"/>
        </w:tabs>
        <w:rPr>
          <w:rFonts w:ascii="Arial" w:hAnsi="Arial" w:cs="Arial"/>
          <w:sz w:val="20"/>
        </w:rPr>
      </w:pPr>
      <w:r>
        <w:rPr>
          <w:rFonts w:cs="Arial" w:ascii="Arial" w:hAnsi="Arial"/>
          <w:b/>
          <w:i/>
          <w:sz w:val="20"/>
        </w:rPr>
        <w:t>* - These results are from a deterministic analysis, with probabilistic results to come</w:t>
      </w:r>
    </w:p>
    <w:p>
      <w:pPr>
        <w:pStyle w:val="Normal"/>
        <w:tabs>
          <w:tab w:val="clear" w:pos="720"/>
          <w:tab w:val="left" w:pos="7380" w:leader="none"/>
        </w:tabs>
        <w:rPr>
          <w:rFonts w:ascii="Arial" w:hAnsi="Arial" w:cs="Arial"/>
          <w:sz w:val="20"/>
        </w:rPr>
      </w:pPr>
      <w:r>
        <w:rPr>
          <w:rFonts w:cs="Arial" w:ascii="Arial" w:hAnsi="Arial"/>
          <w:sz w:val="20"/>
        </w:rPr>
      </w:r>
    </w:p>
    <w:p>
      <w:pPr>
        <w:pStyle w:val="Normal"/>
        <w:tabs>
          <w:tab w:val="clear" w:pos="720"/>
          <w:tab w:val="left" w:pos="7380" w:leader="none"/>
        </w:tabs>
        <w:rPr>
          <w:rFonts w:ascii="Arial" w:hAnsi="Arial" w:cs="Arial"/>
          <w:sz w:val="20"/>
        </w:rPr>
      </w:pPr>
      <w:r>
        <w:rPr>
          <w:rFonts w:cs="Arial" w:ascii="Arial" w:hAnsi="Arial"/>
          <w:sz w:val="20"/>
        </w:rPr>
      </w:r>
    </w:p>
    <w:p>
      <w:pPr>
        <w:pStyle w:val="Normal"/>
        <w:tabs>
          <w:tab w:val="clear" w:pos="720"/>
          <w:tab w:val="left" w:pos="7380" w:leader="none"/>
        </w:tabs>
        <w:rPr>
          <w:rFonts w:ascii="Arial" w:hAnsi="Arial" w:cs="Arial"/>
          <w:sz w:val="20"/>
        </w:rPr>
      </w:pPr>
      <w:r>
        <w:rPr>
          <w:rFonts w:cs="Arial" w:ascii="Arial" w:hAnsi="Arial"/>
          <w:sz w:val="20"/>
        </w:rPr>
      </w:r>
    </w:p>
    <w:p>
      <w:pPr>
        <w:pStyle w:val="Heading2"/>
        <w:widowControl/>
        <w:pBdr>
          <w:top w:val="single" w:sz="8" w:space="1" w:color="000000"/>
        </w:pBdr>
        <w:tabs>
          <w:tab w:val="clear" w:pos="720"/>
          <w:tab w:val="left" w:pos="7380" w:leader="none"/>
        </w:tabs>
        <w:ind w:hanging="0" w:start="0" w:end="-36"/>
        <w:rPr>
          <w:rFonts w:ascii="Arial" w:hAnsi="Arial" w:cs="Arial"/>
          <w:i w:val="false"/>
          <w:i w:val="false"/>
        </w:rPr>
      </w:pPr>
      <w:r>
        <w:rPr>
          <w:rFonts w:cs="Arial" w:ascii="Arial" w:hAnsi="Arial"/>
          <w:i w:val="false"/>
        </w:rPr>
        <w:t>TRANSACTION UPSIDES/OPTIONALITY</w:t>
      </w:r>
    </w:p>
    <w:p>
      <w:pPr>
        <w:pStyle w:val="Heading2"/>
        <w:widowControl/>
        <w:pBdr>
          <w:top w:val="single" w:sz="8" w:space="1" w:color="000000"/>
        </w:pBdr>
        <w:tabs>
          <w:tab w:val="clear" w:pos="720"/>
          <w:tab w:val="left" w:pos="7380" w:leader="none"/>
        </w:tabs>
        <w:ind w:hanging="0" w:start="0" w:end="-36"/>
        <w:rPr/>
      </w:pPr>
      <w:r>
        <w:rPr>
          <w:rFonts w:cs="Arial" w:ascii="Arial" w:hAnsi="Arial"/>
          <w:b w:val="false"/>
          <w:bCs/>
          <w:i w:val="false"/>
        </w:rPr>
        <w:t>Transaction upsides, other than movements in coal prices above our assumed price curves,</w:t>
      </w:r>
      <w:r>
        <w:rPr>
          <w:rFonts w:cs="Arial" w:ascii="Arial" w:hAnsi="Arial"/>
          <w:i w:val="false"/>
        </w:rPr>
        <w:t xml:space="preserve"> </w:t>
      </w:r>
      <w:r>
        <w:rPr>
          <w:rFonts w:cs="Arial" w:ascii="Arial" w:hAnsi="Arial"/>
          <w:b w:val="false"/>
          <w:bCs/>
          <w:i w:val="false"/>
        </w:rPr>
        <w:t>include additional market making opportunities from the coal desk.</w:t>
      </w:r>
    </w:p>
    <w:p>
      <w:pPr>
        <w:pStyle w:val="Heading2"/>
        <w:widowControl/>
        <w:pBdr>
          <w:top w:val="single" w:sz="8" w:space="1" w:color="000000"/>
        </w:pBdr>
        <w:tabs>
          <w:tab w:val="clear" w:pos="720"/>
          <w:tab w:val="left" w:pos="7380" w:leader="none"/>
        </w:tabs>
        <w:ind w:hanging="0" w:start="0" w:end="-36"/>
        <w:rPr>
          <w:rFonts w:ascii="Arial" w:hAnsi="Arial" w:cs="Arial"/>
          <w:b w:val="false"/>
          <w:bCs/>
          <w:i w:val="false"/>
          <w:i w:val="false"/>
        </w:rPr>
      </w:pPr>
      <w:r>
        <w:rPr>
          <w:rFonts w:cs="Arial" w:ascii="Arial" w:hAnsi="Arial"/>
          <w:b w:val="false"/>
          <w:bCs/>
          <w:i w:val="false"/>
        </w:rPr>
      </w:r>
      <w:r>
        <w:br w:type="page"/>
      </w:r>
    </w:p>
    <w:p>
      <w:pPr>
        <w:pStyle w:val="Normal"/>
        <w:pBdr>
          <w:top w:val="single" w:sz="8" w:space="1" w:color="000000"/>
        </w:pBdr>
        <w:rPr>
          <w:rFonts w:ascii="Arial" w:hAnsi="Arial" w:cs="Arial"/>
          <w:b/>
          <w:sz w:val="20"/>
        </w:rPr>
      </w:pPr>
      <w:r>
        <w:rPr>
          <w:rFonts w:cs="Arial" w:ascii="Arial" w:hAnsi="Arial"/>
          <w:b/>
          <w:sz w:val="20"/>
        </w:rPr>
        <w:t>RISK MATRIX</w:t>
      </w:r>
    </w:p>
    <w:p>
      <w:pPr>
        <w:pStyle w:val="Normal"/>
        <w:pBdr>
          <w:top w:val="single" w:sz="8" w:space="1" w:color="000000"/>
        </w:pBdr>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5310"/>
        <w:gridCol w:w="4680"/>
      </w:tblGrid>
      <w:tr>
        <w:trPr/>
        <w:tc>
          <w:tcPr>
            <w:tcW w:w="5310" w:type="dxa"/>
            <w:tcBorders>
              <w:top w:val="single" w:sz="6" w:space="0" w:color="000000"/>
              <w:start w:val="single" w:sz="6" w:space="0" w:color="000000"/>
              <w:bottom w:val="single" w:sz="6" w:space="0" w:color="000000"/>
              <w:end w:val="single" w:sz="6" w:space="0" w:color="000000"/>
            </w:tcBorders>
          </w:tcPr>
          <w:p>
            <w:pPr>
              <w:pStyle w:val="Heading6"/>
              <w:ind w:hanging="0" w:start="0"/>
              <w:jc w:val="start"/>
              <w:rPr>
                <w:rFonts w:ascii="Arial" w:hAnsi="Arial" w:cs="Arial"/>
                <w:szCs w:val="24"/>
              </w:rPr>
            </w:pPr>
            <w:r>
              <w:rPr>
                <w:rFonts w:eastAsia="Arial" w:cs="Arial" w:ascii="Arial" w:hAnsi="Arial"/>
                <w:szCs w:val="24"/>
              </w:rPr>
              <w:t xml:space="preserve"> </w:t>
            </w:r>
            <w:r>
              <w:rPr>
                <w:rFonts w:cs="Arial" w:ascii="Arial" w:hAnsi="Arial"/>
                <w:szCs w:val="24"/>
              </w:rPr>
              <w:t>DESCRIPTION</w:t>
            </w:r>
          </w:p>
        </w:tc>
        <w:tc>
          <w:tcPr>
            <w:tcW w:w="468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531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Market Price Risk</w:t>
            </w:r>
          </w:p>
          <w:p>
            <w:pPr>
              <w:pStyle w:val="Normal"/>
              <w:numPr>
                <w:ilvl w:val="0"/>
                <w:numId w:val="5"/>
              </w:numPr>
              <w:rPr>
                <w:rFonts w:ascii="Arial" w:hAnsi="Arial" w:cs="Arial"/>
                <w:sz w:val="20"/>
              </w:rPr>
            </w:pPr>
            <w:r>
              <w:rPr>
                <w:rFonts w:cs="Arial" w:ascii="Arial" w:hAnsi="Arial"/>
                <w:sz w:val="20"/>
              </w:rPr>
              <w:t>Price forecasts used in this analysis ($7.15 per ton for 8800 BTU coal and $5.50 per ton for 8400 BTU coal) exceed recent historic levels ($4.50 per ton for 8800 BTU coal and $3.40 per ton for 8400 BTU coal average for 1999/2000).</w:t>
            </w:r>
          </w:p>
          <w:p>
            <w:pPr>
              <w:pStyle w:val="Normal"/>
              <w:numPr>
                <w:ilvl w:val="0"/>
                <w:numId w:val="5"/>
              </w:numPr>
              <w:rPr>
                <w:rFonts w:ascii="Arial" w:hAnsi="Arial" w:cs="Arial"/>
                <w:sz w:val="20"/>
              </w:rPr>
            </w:pPr>
            <w:r>
              <w:rPr>
                <w:rFonts w:cs="Arial" w:ascii="Arial" w:hAnsi="Arial"/>
                <w:sz w:val="20"/>
              </w:rPr>
              <w:t>A 10 % drop in prices from forecast yields essentially breakeven economics (4% IRR).</w:t>
            </w:r>
          </w:p>
          <w:p>
            <w:pPr>
              <w:pStyle w:val="Normal"/>
              <w:numPr>
                <w:ilvl w:val="0"/>
                <w:numId w:val="5"/>
              </w:numPr>
              <w:rPr>
                <w:rFonts w:ascii="Arial" w:hAnsi="Arial" w:cs="Arial"/>
                <w:sz w:val="20"/>
              </w:rPr>
            </w:pPr>
            <w:r>
              <w:rPr>
                <w:rFonts w:cs="Arial" w:ascii="Arial" w:hAnsi="Arial"/>
                <w:sz w:val="20"/>
              </w:rPr>
              <w:t>At 50 million tons per year, the long coal position represented by these mines is too large to hedge in the near term [and exceeds the position limit of the coal book].</w:t>
            </w:r>
          </w:p>
          <w:p>
            <w:pPr>
              <w:pStyle w:val="Normal"/>
              <w:numPr>
                <w:ilvl w:val="0"/>
                <w:numId w:val="5"/>
              </w:numPr>
              <w:rPr>
                <w:rFonts w:ascii="Arial" w:hAnsi="Arial" w:cs="Arial"/>
                <w:sz w:val="20"/>
              </w:rPr>
            </w:pPr>
            <w:r>
              <w:rPr>
                <w:rFonts w:cs="Arial" w:ascii="Arial" w:hAnsi="Arial"/>
                <w:sz w:val="20"/>
              </w:rPr>
              <w:t>Calculated VaR of $15 million exceeds current limits.</w:t>
            </w:r>
          </w:p>
          <w:p>
            <w:pPr>
              <w:pStyle w:val="Normal"/>
              <w:numPr>
                <w:ilvl w:val="0"/>
                <w:numId w:val="5"/>
              </w:numPr>
              <w:rPr>
                <w:rFonts w:ascii="Arial" w:hAnsi="Arial" w:cs="Arial"/>
                <w:sz w:val="20"/>
              </w:rPr>
            </w:pPr>
            <w:r>
              <w:rPr>
                <w:rFonts w:cs="Arial" w:ascii="Arial" w:hAnsi="Arial"/>
                <w:sz w:val="20"/>
              </w:rPr>
              <w:t>Should new technologies be developed to clean-up emissions from coal fired plants, premiums for low sulfur coal could narrow.</w:t>
            </w:r>
          </w:p>
          <w:p>
            <w:pPr>
              <w:pStyle w:val="Normal"/>
              <w:rPr>
                <w:rFonts w:ascii="Arial" w:hAnsi="Arial" w:cs="Arial"/>
                <w:sz w:val="20"/>
              </w:rPr>
            </w:pPr>
            <w:r>
              <w:rPr>
                <w:rFonts w:cs="Arial" w:ascii="Arial" w:hAnsi="Arial"/>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p>
            <w:pPr>
              <w:pStyle w:val="Normal"/>
              <w:numPr>
                <w:ilvl w:val="0"/>
                <w:numId w:val="5"/>
              </w:numPr>
              <w:jc w:val="both"/>
              <w:rPr>
                <w:rFonts w:ascii="Arial" w:hAnsi="Arial" w:cs="Arial"/>
                <w:sz w:val="20"/>
              </w:rPr>
            </w:pPr>
            <w:r>
              <w:rPr>
                <w:rFonts w:cs="Arial" w:ascii="Arial" w:hAnsi="Arial"/>
                <w:sz w:val="20"/>
              </w:rPr>
              <w:t>Price projections, while higher than historic levels, are between Enron’s Bid and Ask curves.</w:t>
            </w:r>
          </w:p>
          <w:p>
            <w:pPr>
              <w:pStyle w:val="Normal"/>
              <w:numPr>
                <w:ilvl w:val="0"/>
                <w:numId w:val="5"/>
              </w:numPr>
              <w:jc w:val="both"/>
              <w:rPr>
                <w:rFonts w:ascii="Arial" w:hAnsi="Arial" w:cs="Arial"/>
                <w:sz w:val="20"/>
              </w:rPr>
            </w:pPr>
            <w:r>
              <w:rPr>
                <w:rFonts w:cs="Arial" w:ascii="Arial" w:hAnsi="Arial"/>
                <w:sz w:val="20"/>
              </w:rPr>
              <w:t>Escalation of both coal prices and operating costs at a 1.2% p.a. rate assumed in our economic analysis; the price trends of coal prices and operating costs may diverge.</w:t>
            </w:r>
          </w:p>
          <w:p>
            <w:pPr>
              <w:pStyle w:val="Normal"/>
              <w:numPr>
                <w:ilvl w:val="0"/>
                <w:numId w:val="5"/>
              </w:numPr>
              <w:jc w:val="both"/>
              <w:rPr>
                <w:rFonts w:ascii="Arial" w:hAnsi="Arial" w:cs="Arial"/>
                <w:sz w:val="20"/>
              </w:rPr>
            </w:pPr>
            <w:r>
              <w:rPr>
                <w:rFonts w:cs="Arial" w:ascii="Arial" w:hAnsi="Arial"/>
                <w:sz w:val="20"/>
              </w:rPr>
              <w:t>VaR and volume amounts in excess of present limits are expected to be reduced through long-term coal sales and through a sell-down of Enron’s equity position in these mines.</w:t>
            </w:r>
          </w:p>
        </w:tc>
      </w:tr>
      <w:tr>
        <w:trPr/>
        <w:tc>
          <w:tcPr>
            <w:tcW w:w="531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Coal Leases</w:t>
            </w:r>
          </w:p>
          <w:p>
            <w:pPr>
              <w:pStyle w:val="Normal"/>
              <w:numPr>
                <w:ilvl w:val="0"/>
                <w:numId w:val="2"/>
              </w:numPr>
              <w:rPr>
                <w:rFonts w:ascii="Arial" w:hAnsi="Arial" w:cs="Arial"/>
                <w:sz w:val="20"/>
              </w:rPr>
            </w:pPr>
            <w:r>
              <w:rPr>
                <w:rFonts w:cs="Arial" w:ascii="Arial" w:hAnsi="Arial"/>
                <w:sz w:val="20"/>
              </w:rPr>
              <w:t>Failure to obtain additional federal coal leases (to be competitively bid) would shorten the projected life of these mines and impact present worth.</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p>
            <w:pPr>
              <w:pStyle w:val="Normal"/>
              <w:numPr>
                <w:ilvl w:val="0"/>
                <w:numId w:val="2"/>
              </w:numPr>
              <w:jc w:val="both"/>
              <w:rPr>
                <w:rFonts w:ascii="Arial" w:hAnsi="Arial" w:cs="Arial"/>
                <w:sz w:val="20"/>
              </w:rPr>
            </w:pPr>
            <w:r>
              <w:rPr>
                <w:rFonts w:cs="Arial" w:ascii="Arial" w:hAnsi="Arial"/>
                <w:sz w:val="20"/>
              </w:rPr>
              <w:t>The leasing process has been started on two of the three tracts needed.</w:t>
            </w:r>
          </w:p>
          <w:p>
            <w:pPr>
              <w:pStyle w:val="Normal"/>
              <w:numPr>
                <w:ilvl w:val="0"/>
                <w:numId w:val="2"/>
              </w:numPr>
              <w:jc w:val="both"/>
              <w:rPr>
                <w:rFonts w:ascii="Arial" w:hAnsi="Arial" w:cs="Arial"/>
                <w:sz w:val="20"/>
              </w:rPr>
            </w:pPr>
            <w:r>
              <w:rPr>
                <w:rFonts w:cs="Arial" w:ascii="Arial" w:hAnsi="Arial"/>
                <w:sz w:val="20"/>
              </w:rPr>
              <w:t>There would appear to be no logical competitors for the tracts adjoining Buckskin to the north.</w:t>
            </w:r>
          </w:p>
        </w:tc>
      </w:tr>
      <w:tr>
        <w:trPr/>
        <w:tc>
          <w:tcPr>
            <w:tcW w:w="531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Mine Development/Operational</w:t>
            </w:r>
          </w:p>
          <w:p>
            <w:pPr>
              <w:pStyle w:val="Normal"/>
              <w:numPr>
                <w:ilvl w:val="0"/>
                <w:numId w:val="2"/>
              </w:numPr>
              <w:rPr>
                <w:rFonts w:ascii="Arial" w:hAnsi="Arial" w:cs="Arial"/>
                <w:sz w:val="20"/>
              </w:rPr>
            </w:pPr>
            <w:r>
              <w:rPr>
                <w:rFonts w:cs="Arial" w:ascii="Arial" w:hAnsi="Arial"/>
                <w:sz w:val="20"/>
              </w:rPr>
              <w:t>Output of these mines must be increased by [16-20%} to meet the forecast level.</w:t>
            </w:r>
          </w:p>
          <w:p>
            <w:pPr>
              <w:pStyle w:val="Normal"/>
              <w:numPr>
                <w:ilvl w:val="0"/>
                <w:numId w:val="2"/>
              </w:numPr>
              <w:rPr>
                <w:rFonts w:ascii="Arial" w:hAnsi="Arial" w:cs="Arial"/>
                <w:sz w:val="20"/>
              </w:rPr>
            </w:pPr>
            <w:r>
              <w:rPr>
                <w:rFonts w:cs="Arial" w:ascii="Arial" w:hAnsi="Arial"/>
                <w:sz w:val="20"/>
              </w:rPr>
              <w:t>Any increase in operating expenses (on a per ton basis) has the same impact on the value of this asset as a like decrease in price from the projected curves.</w:t>
            </w:r>
          </w:p>
          <w:p>
            <w:pPr>
              <w:pStyle w:val="Normal"/>
              <w:rPr>
                <w:rFonts w:ascii="Arial" w:hAnsi="Arial" w:cs="Arial"/>
                <w:sz w:val="20"/>
              </w:rPr>
            </w:pPr>
            <w:r>
              <w:rPr>
                <w:rFonts w:cs="Arial" w:ascii="Arial" w:hAnsi="Arial"/>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p>
            <w:pPr>
              <w:pStyle w:val="Normal"/>
              <w:numPr>
                <w:ilvl w:val="0"/>
                <w:numId w:val="2"/>
              </w:numPr>
              <w:jc w:val="both"/>
              <w:rPr>
                <w:rFonts w:ascii="Arial" w:hAnsi="Arial" w:cs="Arial"/>
                <w:sz w:val="20"/>
              </w:rPr>
            </w:pPr>
            <w:r>
              <w:rPr>
                <w:rFonts w:cs="Arial" w:ascii="Arial" w:hAnsi="Arial"/>
                <w:sz w:val="20"/>
              </w:rPr>
              <w:t>Production levels, operating expenses and capital expenditures were projected by Weir International, a consulting firm working for EWS).  While these projections appear reasonable, neither EGM nor RAC have sufficient coal mining expertise to prepare an independent projection of these parameters.</w:t>
            </w:r>
          </w:p>
          <w:p>
            <w:pPr>
              <w:pStyle w:val="Normal"/>
              <w:numPr>
                <w:ilvl w:val="0"/>
                <w:numId w:val="2"/>
              </w:numPr>
              <w:jc w:val="both"/>
              <w:rPr>
                <w:rFonts w:ascii="Arial" w:hAnsi="Arial" w:cs="Arial"/>
                <w:sz w:val="20"/>
              </w:rPr>
            </w:pPr>
            <w:r>
              <w:rPr>
                <w:rFonts w:cs="Arial" w:ascii="Arial" w:hAnsi="Arial"/>
                <w:sz w:val="20"/>
              </w:rPr>
              <w:t>A reduction in production from the forecast levels of 10% in 2002 and 5% annually thereafter results in a reduction in the assets NPV of approximately $25 million.</w:t>
            </w:r>
          </w:p>
        </w:tc>
      </w:tr>
      <w:tr>
        <w:trPr/>
        <w:tc>
          <w:tcPr>
            <w:tcW w:w="531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bCs/>
                <w:szCs w:val="24"/>
              </w:rPr>
            </w:pPr>
            <w:r>
              <w:rPr>
                <w:rFonts w:cs="Arial" w:ascii="Arial" w:hAnsi="Arial"/>
                <w:bCs/>
                <w:szCs w:val="24"/>
              </w:rPr>
              <w:t>Capital Expenditures</w:t>
            </w:r>
          </w:p>
          <w:p>
            <w:pPr>
              <w:pStyle w:val="Normal"/>
              <w:numPr>
                <w:ilvl w:val="0"/>
                <w:numId w:val="6"/>
              </w:numPr>
              <w:tabs>
                <w:tab w:val="clear" w:pos="720"/>
                <w:tab w:val="left" w:pos="342" w:leader="none"/>
              </w:tabs>
              <w:ind w:hanging="342" w:start="342" w:end="0"/>
              <w:rPr>
                <w:rFonts w:ascii="Arial" w:hAnsi="Arial" w:cs="Arial"/>
                <w:sz w:val="20"/>
              </w:rPr>
            </w:pPr>
            <w:r>
              <w:rPr>
                <w:rFonts w:cs="Arial" w:ascii="Arial" w:hAnsi="Arial"/>
                <w:sz w:val="20"/>
              </w:rPr>
              <w:t>Substantial capital reinvestment $ 300 million must be made.  Access to leasing markets is assumed to finance the bulk of the projected capital expenditures; inability to access these markets would result in either significantly more capital expenditures in the early years of this acquisition or a reduction in the production volumes forecast.</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p>
            <w:pPr>
              <w:pStyle w:val="Normal"/>
              <w:numPr>
                <w:ilvl w:val="0"/>
                <w:numId w:val="6"/>
              </w:numPr>
              <w:tabs>
                <w:tab w:val="clear" w:pos="720"/>
                <w:tab w:val="left" w:pos="432" w:leader="none"/>
              </w:tabs>
              <w:ind w:hanging="432" w:start="432" w:end="0"/>
              <w:jc w:val="both"/>
              <w:rPr>
                <w:rFonts w:ascii="Arial" w:hAnsi="Arial" w:cs="Arial"/>
                <w:sz w:val="20"/>
              </w:rPr>
            </w:pPr>
            <w:r>
              <w:rPr>
                <w:rFonts w:cs="Arial" w:ascii="Arial" w:hAnsi="Arial"/>
                <w:sz w:val="20"/>
              </w:rPr>
              <w:t>A reduction in capital expenditures is expected to delay the timing of production, which could significantly reduce the net present value of this transaction.  A request for additional capital contributions may be forthcoming if either prices are lower than projected or if leasing of capital equipment is not available or not economic.</w:t>
            </w:r>
          </w:p>
        </w:tc>
      </w:tr>
      <w:tr>
        <w:trPr/>
        <w:tc>
          <w:tcPr>
            <w:tcW w:w="531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bCs/>
                <w:szCs w:val="24"/>
              </w:rPr>
            </w:pPr>
            <w:r>
              <w:rPr>
                <w:rFonts w:cs="Arial" w:ascii="Arial" w:hAnsi="Arial"/>
                <w:bCs/>
                <w:szCs w:val="24"/>
              </w:rPr>
              <w:t>Environmental</w:t>
            </w:r>
          </w:p>
          <w:p>
            <w:pPr>
              <w:pStyle w:val="Normal"/>
              <w:numPr>
                <w:ilvl w:val="0"/>
                <w:numId w:val="6"/>
              </w:numPr>
              <w:rPr>
                <w:rFonts w:ascii="Arial" w:hAnsi="Arial" w:cs="Arial"/>
                <w:sz w:val="20"/>
              </w:rPr>
            </w:pPr>
            <w:r>
              <w:rPr>
                <w:rFonts w:cs="Arial" w:ascii="Arial" w:hAnsi="Arial"/>
                <w:sz w:val="20"/>
              </w:rPr>
              <w:t>Variety of issues relating to mining, reclamation and pollution control.</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ind w:start="360" w:end="0"/>
              <w:jc w:val="both"/>
              <w:rPr>
                <w:rFonts w:ascii="Arial" w:hAnsi="Arial" w:cs="Arial"/>
                <w:color w:val="000000"/>
                <w:sz w:val="20"/>
              </w:rPr>
            </w:pPr>
            <w:r>
              <w:rPr>
                <w:rFonts w:cs="Arial" w:ascii="Arial" w:hAnsi="Arial"/>
                <w:color w:val="000000"/>
                <w:sz w:val="20"/>
              </w:rPr>
            </w:r>
          </w:p>
          <w:p>
            <w:pPr>
              <w:pStyle w:val="Normal"/>
              <w:numPr>
                <w:ilvl w:val="0"/>
                <w:numId w:val="6"/>
              </w:numPr>
              <w:tabs>
                <w:tab w:val="clear" w:pos="720"/>
                <w:tab w:val="left" w:pos="432" w:leader="none"/>
              </w:tabs>
              <w:ind w:hanging="432" w:start="432" w:end="0"/>
              <w:jc w:val="both"/>
              <w:rPr>
                <w:rFonts w:ascii="Arial" w:hAnsi="Arial" w:cs="Arial"/>
                <w:color w:val="000000"/>
                <w:sz w:val="20"/>
              </w:rPr>
            </w:pPr>
            <w:r>
              <w:rPr>
                <w:rFonts w:cs="Arial" w:ascii="Arial" w:hAnsi="Arial"/>
                <w:color w:val="000000"/>
                <w:sz w:val="20"/>
              </w:rPr>
              <w:t>Reviews to date have not surfaced any major issues; further work with respect to environmental issues will be done prior to closing, assuming Enron is the high bidder.</w:t>
            </w:r>
          </w:p>
        </w:tc>
      </w:tr>
    </w:tbl>
    <w:p>
      <w:pPr>
        <w:pStyle w:val="Header"/>
        <w:widowControl/>
        <w:tabs>
          <w:tab w:val="clear" w:pos="4320"/>
          <w:tab w:val="clear" w:pos="8640"/>
        </w:tabs>
        <w:rPr>
          <w:rFonts w:ascii="Arial" w:hAnsi="Arial" w:cs="Arial"/>
        </w:rPr>
      </w:pPr>
      <w:r>
        <w:rPr>
          <w:rFonts w:cs="Arial" w:ascii="Arial" w:hAnsi="Arial"/>
        </w:rPr>
      </w:r>
      <w:r>
        <w:br w:type="page"/>
      </w:r>
    </w:p>
    <w:p>
      <w:pPr>
        <w:pStyle w:val="Header"/>
        <w:widowControl/>
        <w:tabs>
          <w:tab w:val="clear" w:pos="4320"/>
          <w:tab w:val="clear" w:pos="8640"/>
        </w:tabs>
        <w:rPr>
          <w:rFonts w:ascii="Arial" w:hAnsi="Arial" w:cs="Arial"/>
        </w:rPr>
      </w:pPr>
      <w:r>
        <w:rPr>
          <w:rFonts w:cs="Arial" w:ascii="Arial" w:hAnsi="Arial"/>
        </w:rPr>
      </w:r>
    </w:p>
    <w:p>
      <w:pPr>
        <w:pStyle w:val="Heading1"/>
        <w:pBdr>
          <w:top w:val="single" w:sz="8" w:space="1" w:color="000000"/>
        </w:pBdr>
        <w:ind w:hanging="0" w:start="0"/>
        <w:rPr>
          <w:rFonts w:ascii="Arial" w:hAnsi="Arial" w:cs="Arial"/>
          <w:b w:val="false"/>
        </w:rPr>
      </w:pPr>
      <w:r>
        <w:rPr>
          <w:rFonts w:cs="Arial" w:ascii="Arial" w:hAnsi="Arial"/>
        </w:rPr>
        <w:t xml:space="preserve">KEY SUCCESS FACTORS </w:t>
      </w:r>
    </w:p>
    <w:p>
      <w:pPr>
        <w:pStyle w:val="Normal"/>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4050"/>
        <w:gridCol w:w="720"/>
        <w:gridCol w:w="2700"/>
        <w:gridCol w:w="25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eastAsia="Arial" w:cs="Arial" w:ascii="Arial" w:hAnsi="Arial"/>
                <w:b/>
                <w:sz w:val="20"/>
              </w:rPr>
              <w:t xml:space="preserve">                                                  </w:t>
            </w:r>
            <w:r>
              <w:rPr>
                <w:rFonts w:cs="Arial" w:ascii="Arial" w:hAnsi="Arial"/>
                <w:b/>
                <w:sz w:val="20"/>
              </w:rPr>
              <w:t>X – 1</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eastAsia="Arial" w:cs="Arial" w:ascii="Arial" w:hAnsi="Arial"/>
                <w:b/>
                <w:sz w:val="20"/>
              </w:rPr>
              <w:t xml:space="preserve">                                                  </w:t>
            </w:r>
            <w:r>
              <w:rPr>
                <w:rFonts w:cs="Arial" w:ascii="Arial" w:hAnsi="Arial"/>
                <w:b/>
                <w:sz w:val="20"/>
              </w:rPr>
              <w:t>X - 1</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eastAsia="Arial" w:cs="Arial" w:ascii="Arial" w:hAnsi="Arial"/>
                <w:b/>
                <w:sz w:val="20"/>
              </w:rPr>
              <w:t xml:space="preserve">                                                         </w:t>
            </w:r>
            <w:r>
              <w:rPr>
                <w:rFonts w:cs="Arial" w:ascii="Arial" w:hAnsi="Arial"/>
                <w:b/>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eastAsia="Arial" w:cs="Arial" w:ascii="Arial" w:hAnsi="Arial"/>
                <w:b/>
                <w:sz w:val="20"/>
              </w:rPr>
              <w:t xml:space="preserve">                      </w:t>
            </w:r>
            <w:r>
              <w:rPr>
                <w:rFonts w:cs="Arial" w:ascii="Arial" w:hAnsi="Arial"/>
                <w:b/>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eastAsia="Arial" w:cs="Arial" w:ascii="Arial" w:hAnsi="Arial"/>
                <w:b/>
                <w:sz w:val="20"/>
              </w:rPr>
              <w:t xml:space="preserve">         </w:t>
            </w:r>
            <w:r>
              <w:rPr>
                <w:rFonts w:cs="Arial" w:ascii="Arial" w:hAnsi="Arial"/>
                <w:b/>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 with respect to how this investment would support the coal trading/marketing operations of EWS and not relating to the ownership and operation of surface coal mines.</w:t>
      </w:r>
    </w:p>
    <w:p>
      <w:pPr>
        <w:pStyle w:val="Normal"/>
        <w:pBdr>
          <w:top w:val="single" w:sz="8" w:space="1" w:color="000000"/>
        </w:pBdr>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r>
    </w:p>
    <w:p>
      <w:pPr>
        <w:pStyle w:val="Normal"/>
        <w:pBdr>
          <w:top w:val="single" w:sz="8" w:space="5" w:color="000000"/>
        </w:pBdr>
        <w:rPr>
          <w:rFonts w:ascii="Arial" w:hAnsi="Arial" w:cs="Arial"/>
          <w:b/>
          <w:sz w:val="20"/>
        </w:rPr>
      </w:pPr>
      <w:r>
        <w:rPr>
          <w:rFonts w:cs="Arial" w:ascii="Arial" w:hAnsi="Arial"/>
          <w:b/>
          <w:sz w:val="20"/>
        </w:rPr>
      </w:r>
    </w:p>
    <w:p>
      <w:pPr>
        <w:pStyle w:val="Normal"/>
        <w:pBdr>
          <w:top w:val="single" w:sz="8" w:space="5" w:color="000000"/>
        </w:pBdr>
        <w:rPr>
          <w:rFonts w:ascii="Arial" w:hAnsi="Arial" w:cs="Arial"/>
          <w:b/>
          <w:sz w:val="20"/>
        </w:rPr>
      </w:pPr>
      <w:r>
        <w:rPr>
          <w:rFonts w:cs="Arial" w:ascii="Arial" w:hAnsi="Arial"/>
          <w:b/>
          <w:sz w:val="20"/>
        </w:rPr>
        <w:t>MILESTONES</w:t>
      </w:r>
    </w:p>
    <w:p>
      <w:pPr>
        <w:pStyle w:val="Normal"/>
        <w:numPr>
          <w:ilvl w:val="0"/>
          <w:numId w:val="11"/>
        </w:numPr>
        <w:tabs>
          <w:tab w:val="clear" w:pos="720"/>
          <w:tab w:val="left" w:pos="7380" w:leader="none"/>
        </w:tabs>
        <w:rPr>
          <w:rFonts w:ascii="Arial" w:hAnsi="Arial" w:cs="Arial"/>
          <w:sz w:val="20"/>
        </w:rPr>
      </w:pPr>
      <w:r>
        <w:rPr>
          <w:rFonts w:cs="Arial" w:ascii="Arial" w:hAnsi="Arial"/>
          <w:sz w:val="20"/>
        </w:rPr>
        <w:t>Receipt of detailed mine plans with quarterly production, expense, and capital expenditure estimates [Date]</w:t>
      </w:r>
    </w:p>
    <w:p>
      <w:pPr>
        <w:pStyle w:val="Normal"/>
        <w:numPr>
          <w:ilvl w:val="0"/>
          <w:numId w:val="11"/>
        </w:numPr>
        <w:tabs>
          <w:tab w:val="clear" w:pos="720"/>
          <w:tab w:val="left" w:pos="7380" w:leader="none"/>
        </w:tabs>
        <w:rPr>
          <w:rFonts w:ascii="Arial" w:hAnsi="Arial" w:cs="Arial"/>
          <w:sz w:val="20"/>
        </w:rPr>
      </w:pPr>
      <w:r>
        <w:rPr>
          <w:rFonts w:cs="Arial" w:ascii="Arial" w:hAnsi="Arial"/>
          <w:sz w:val="20"/>
        </w:rPr>
        <w:t>Monitoring of actual v. mine plan performance on a quarterly basis [Quarterly, commencing]</w:t>
      </w:r>
    </w:p>
    <w:p>
      <w:pPr>
        <w:pStyle w:val="Normal"/>
        <w:numPr>
          <w:ilvl w:val="0"/>
          <w:numId w:val="11"/>
        </w:numPr>
        <w:tabs>
          <w:tab w:val="clear" w:pos="720"/>
          <w:tab w:val="left" w:pos="7380" w:leader="none"/>
        </w:tabs>
        <w:rPr>
          <w:rFonts w:ascii="Arial" w:hAnsi="Arial" w:cs="Arial"/>
          <w:sz w:val="20"/>
        </w:rPr>
      </w:pPr>
      <w:r>
        <w:rPr>
          <w:rFonts w:cs="Arial" w:ascii="Arial" w:hAnsi="Arial"/>
          <w:sz w:val="20"/>
        </w:rPr>
        <w:t>[Others]</w:t>
      </w:r>
    </w:p>
    <w:p>
      <w:pPr>
        <w:pStyle w:val="Normal"/>
        <w:tabs>
          <w:tab w:val="clear" w:pos="720"/>
          <w:tab w:val="left" w:pos="7380" w:leader="none"/>
        </w:tabs>
        <w:rPr>
          <w:rFonts w:ascii="Arial" w:hAnsi="Arial" w:cs="Arial"/>
          <w:sz w:val="20"/>
        </w:rPr>
      </w:pPr>
      <w:r>
        <w:rPr>
          <w:rFonts w:cs="Arial" w:ascii="Arial" w:hAnsi="Arial"/>
          <w:sz w:val="20"/>
        </w:rPr>
      </w:r>
    </w:p>
    <w:p>
      <w:pPr>
        <w:pStyle w:val="Normal"/>
        <w:tabs>
          <w:tab w:val="clear" w:pos="720"/>
          <w:tab w:val="left" w:pos="7380" w:leader="none"/>
        </w:tabs>
        <w:rPr>
          <w:rFonts w:ascii="Arial" w:hAnsi="Arial" w:cs="Arial"/>
          <w:sz w:val="20"/>
        </w:rPr>
      </w:pPr>
      <w:r>
        <w:rPr>
          <w:rFonts w:cs="Arial" w:ascii="Arial" w:hAnsi="Arial"/>
          <w:sz w:val="20"/>
        </w:rPr>
      </w:r>
    </w:p>
    <w:p>
      <w:pPr>
        <w:pStyle w:val="Normal"/>
        <w:pBdr>
          <w:top w:val="single" w:sz="8" w:space="5" w:color="000000"/>
        </w:pBdr>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b/>
          <w:sz w:val="20"/>
        </w:rPr>
        <w:t>OTHER RAC COMMENTS</w:t>
      </w:r>
    </w:p>
    <w:p>
      <w:pPr>
        <w:pStyle w:val="BodyTextIndent"/>
        <w:ind w:start="0" w:end="0"/>
        <w:rPr>
          <w:rFonts w:ascii="Arial" w:hAnsi="Arial" w:cs="Arial"/>
          <w:sz w:val="20"/>
        </w:rPr>
      </w:pPr>
      <w:r>
        <w:rPr>
          <w:rFonts w:cs="Arial"/>
          <w:sz w:val="20"/>
        </w:rPr>
      </w:r>
    </w:p>
    <w:p>
      <w:pPr>
        <w:pStyle w:val="BodyText"/>
        <w:rPr/>
      </w:pPr>
      <w:r>
        <w:rPr/>
        <w:t>The proposed purchase price of $425 million, exclusive of the value of the security to be granted to the seller giving it a participating interest in prices above a threshold amount, represents a strategic premium of approximately $54 million, or 15%, to the preliminary RAC value of the Triton assets of $371 million.  This amount could increase slightly when the probabilistic analysis of these assets is completed.  While RAC is cognizant of the strategic value to EGM’s coal operations of accessing the PRB, the proposed amount of the strategic premium is significant.  EGM’s ability to recover this premium at Enron’s weighted average cost of capital from synergies to the coal desk is uncertain and no detailed plan to recover this premium has been prepared to date.</w:t>
      </w:r>
    </w:p>
    <w:p>
      <w:pPr>
        <w:pStyle w:val="Normal"/>
        <w:jc w:val="both"/>
        <w:rPr>
          <w:rFonts w:ascii="Arial" w:hAnsi="Arial" w:cs="Arial"/>
          <w:sz w:val="20"/>
        </w:rPr>
      </w:pPr>
      <w:r>
        <w:rPr>
          <w:rFonts w:cs="Arial" w:ascii="Arial" w:hAnsi="Arial"/>
          <w:sz w:val="20"/>
        </w:rPr>
      </w:r>
    </w:p>
    <w:p>
      <w:pPr>
        <w:pStyle w:val="BodyText"/>
        <w:rPr>
          <w:bCs w:val="false"/>
        </w:rPr>
      </w:pPr>
      <w:r>
        <w:rPr>
          <w:bCs w:val="false"/>
        </w:rPr>
        <w:t>The mechanics of the price participation security have not been negotiated.  The interplay of the price protection instrument required to access the debt markets and the price participation security need to be carefully considered to avoid having the price participation security be, in effect, Enron’s sale of a naked call on PRB coal.</w:t>
      </w:r>
    </w:p>
    <w:p>
      <w:pPr>
        <w:pStyle w:val="BodyText"/>
        <w:rPr>
          <w:bCs w:val="false"/>
        </w:rPr>
      </w:pPr>
      <w:r>
        <w:rPr>
          <w:bCs w:val="false"/>
        </w:rPr>
      </w:r>
    </w:p>
    <w:p>
      <w:pPr>
        <w:pStyle w:val="BodyText"/>
        <w:rPr/>
      </w:pPr>
      <w:r>
        <w:rPr>
          <w:bCs w:val="false"/>
        </w:rPr>
        <w:t>This transaction represents a long coal position in excess of Enron’s present volume and VaR limits.  I</w:t>
      </w:r>
      <w:r>
        <w:rPr/>
        <w:t xml:space="preserve">ncreased limits will need to be received from the Board of Directors prior to or concurrently with Enron’s commitment to enter into this acquisition. </w:t>
      </w:r>
      <w:r>
        <w:rPr>
          <w:bCs w:val="false"/>
        </w:rPr>
        <w:t xml:space="preserve">The market risk of this transaction is exacerbated by the operating risk and leverage of these assets. </w:t>
      </w:r>
    </w:p>
    <w:p>
      <w:pPr>
        <w:pStyle w:val="Normal"/>
        <w:jc w:val="both"/>
        <w:rPr>
          <w:rFonts w:ascii="Arial" w:hAnsi="Arial" w:cs="Arial"/>
          <w:bCs/>
          <w:sz w:val="20"/>
        </w:rPr>
      </w:pPr>
      <w:r>
        <w:rPr>
          <w:rFonts w:cs="Arial" w:ascii="Arial" w:hAnsi="Arial"/>
          <w:bCs/>
          <w:sz w:val="20"/>
        </w:rPr>
      </w:r>
    </w:p>
    <w:p>
      <w:pPr>
        <w:pStyle w:val="Normal"/>
        <w:jc w:val="both"/>
        <w:rPr>
          <w:rFonts w:ascii="Arial" w:hAnsi="Arial" w:cs="Arial"/>
          <w:sz w:val="20"/>
        </w:rPr>
      </w:pPr>
      <w:r>
        <w:rPr>
          <w:rFonts w:cs="Arial" w:ascii="Arial" w:hAnsi="Arial"/>
          <w:sz w:val="20"/>
        </w:rPr>
        <w:t>Triton represents the first coal mines in which Enron will have, directly or indirectly, a 100% economic ownership rather than an interest that is operated by a firm which has an equity interest larger than Enron’s in the mine(s) that it operates.  While the existing mine management and operators appear competent, EGM may consider replacing them with a contract operator.  Since a $0.25/ton upward movement in operating costs reduces the value of these assets by approximately $50 million, management’s cost control effectiveness is a critical factor.  In addition, further capital contributions to, or a mothballing of, these mines may be required if coal prices return to historical levels for any protracted period.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Because of the significant exposure of this investment to PRB coal price volatility and operating expenses, RAC strongly recommends that a portion of this equity investment be sold to one or more third parties willing to bear these risks as soon as possible to reduce the absolute amount of Enron’s exposure to the risks of owning these PRB mines.</w:t>
      </w:r>
    </w:p>
    <w:p>
      <w:pPr>
        <w:pStyle w:val="BodyTextIndent"/>
        <w:ind w:start="0" w:end="0"/>
        <w:rPr>
          <w:rFonts w:ascii="Arial" w:hAnsi="Arial" w:cs="Arial"/>
          <w:sz w:val="20"/>
        </w:rPr>
      </w:pPr>
      <w:r>
        <w:rPr>
          <w:rFonts w:cs="Arial"/>
          <w:sz w:val="20"/>
        </w:rPr>
      </w:r>
    </w:p>
    <w:p>
      <w:pPr>
        <w:pStyle w:val="BodyTextIndent"/>
        <w:ind w:start="0" w:end="0"/>
        <w:rPr/>
      </w:pPr>
      <w:r>
        <w:rPr/>
      </w:r>
      <w:r>
        <w:br w:type="page"/>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bl>
      <w:tblPr>
        <w:tblW w:w="10548" w:type="dxa"/>
        <w:jc w:val="start"/>
        <w:tblInd w:w="0" w:type="dxa"/>
        <w:tblLayout w:type="fixed"/>
        <w:tblCellMar>
          <w:top w:w="0" w:type="dxa"/>
          <w:start w:w="108" w:type="dxa"/>
          <w:bottom w:w="0" w:type="dxa"/>
          <w:end w:w="108" w:type="dxa"/>
        </w:tblCellMar>
      </w:tblPr>
      <w:tblGrid>
        <w:gridCol w:w="2628"/>
        <w:gridCol w:w="360"/>
        <w:gridCol w:w="2932"/>
        <w:gridCol w:w="354"/>
        <w:gridCol w:w="2924"/>
        <w:gridCol w:w="293"/>
        <w:gridCol w:w="1057"/>
      </w:tblGrid>
      <w:tr>
        <w:trPr>
          <w:trHeight w:val="405" w:hRule="atLeast"/>
        </w:trPr>
        <w:tc>
          <w:tcPr>
            <w:tcW w:w="262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932"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4"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628" w:type="dxa"/>
            <w:tcBorders/>
          </w:tcPr>
          <w:p>
            <w:pPr>
              <w:pStyle w:val="Normal"/>
              <w:spacing w:before="120" w:after="0"/>
              <w:rPr>
                <w:rFonts w:ascii="Arial" w:hAnsi="Arial" w:cs="Arial"/>
                <w:sz w:val="20"/>
              </w:rPr>
            </w:pPr>
            <w:r>
              <w:rPr>
                <w:rFonts w:cs="Arial" w:ascii="Arial" w:hAnsi="Arial"/>
                <w:sz w:val="20"/>
              </w:rPr>
              <w:t>Business Unit Originator</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Mike Beyer</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ind w:end="-648"/>
              <w:rPr>
                <w:rFonts w:ascii="Arial" w:hAnsi="Arial" w:cs="Arial"/>
                <w:sz w:val="20"/>
              </w:rPr>
            </w:pPr>
            <w:r>
              <w:rPr>
                <w:rFonts w:cs="Arial" w:ascii="Arial" w:hAnsi="Arial"/>
                <w:sz w:val="20"/>
              </w:rPr>
              <w:t>Business Unit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George McClellan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EGM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ind w:end="-236"/>
              <w:rPr>
                <w:rFonts w:ascii="Arial" w:hAnsi="Arial" w:cs="Arial"/>
                <w:sz w:val="20"/>
              </w:rPr>
            </w:pPr>
            <w:r>
              <w:rPr>
                <w:rFonts w:cs="Arial" w:ascii="Arial" w:hAnsi="Arial"/>
                <w:sz w:val="20"/>
              </w:rPr>
              <w:t>Mike McConnell/Jeff Shankman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EWS 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Enron Global Finance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EWS  OOC</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Mark Frevert/Greg Whalley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jc w:val="center"/>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ENE  Chairman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Ken Lay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napToGrid w:val="false"/>
              <w:spacing w:before="120" w:after="0"/>
              <w:rPr>
                <w:rFonts w:ascii="Arial" w:hAnsi="Arial" w:cs="Arial"/>
                <w:sz w:val="20"/>
              </w:rPr>
            </w:pPr>
            <w:r>
              <w:rPr>
                <w:rFonts w:cs="Arial" w:ascii="Arial" w:hAnsi="Arial"/>
                <w:sz w:val="20"/>
              </w:rPr>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u w:val="single"/>
        </w:rPr>
      </w:pPr>
      <w:r>
        <w:br w:type="page"/>
      </w:r>
      <w:r>
        <w:rPr>
          <w:rFonts w:cs="Arial" w:ascii="Arial" w:hAnsi="Arial"/>
          <w:b/>
          <w:sz w:val="20"/>
          <w:u w:val="single"/>
        </w:rPr>
      </w:r>
    </w:p>
    <w:p>
      <w:pPr>
        <w:pStyle w:val="Normal"/>
        <w:rPr>
          <w:rFonts w:ascii="Arial" w:hAnsi="Arial" w:cs="Arial"/>
          <w:b/>
          <w:sz w:val="20"/>
          <w:u w:val="single"/>
        </w:rPr>
      </w:pPr>
      <w:r>
        <w:rPr>
          <w:rFonts w:cs="Arial" w:ascii="Arial" w:hAnsi="Arial"/>
          <w:b/>
          <w:sz w:val="20"/>
          <w:u w:val="single"/>
        </w:rPr>
        <w:t>Global Finance Summary (addendum to DASH)</w:t>
      </w:r>
    </w:p>
    <w:p>
      <w:pPr>
        <w:pStyle w:val="Normal"/>
        <w:jc w:val="end"/>
        <w:rPr>
          <w:rFonts w:ascii="Arial" w:hAnsi="Arial" w:cs="Arial"/>
          <w:b/>
          <w:sz w:val="20"/>
          <w:u w:val="single"/>
        </w:rPr>
      </w:pPr>
      <w:r>
        <w:rPr>
          <w:rFonts w:cs="Arial" w:ascii="Arial" w:hAnsi="Arial"/>
          <w:b/>
          <w:sz w:val="20"/>
          <w:u w:val="single"/>
        </w:rPr>
      </w:r>
    </w:p>
    <w:p>
      <w:pPr>
        <w:pStyle w:val="Normal"/>
        <w:numPr>
          <w:ilvl w:val="0"/>
          <w:numId w:val="3"/>
        </w:numPr>
        <w:rPr>
          <w:rFonts w:ascii="Arial" w:hAnsi="Arial" w:cs="Arial"/>
          <w:b/>
          <w:sz w:val="20"/>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bottom w:val="single" w:sz="4" w:space="0" w:color="000000"/>
            </w:tcBorders>
          </w:tcPr>
          <w:p>
            <w:pPr>
              <w:pStyle w:val="Normal"/>
              <w:jc w:val="end"/>
              <w:rPr>
                <w:rFonts w:ascii="Arial" w:hAnsi="Arial" w:cs="Arial"/>
                <w:sz w:val="20"/>
              </w:rPr>
            </w:pPr>
            <w:r>
              <w:rPr>
                <w:rFonts w:cs="Arial" w:ascii="Arial" w:hAnsi="Arial"/>
                <w:sz w:val="20"/>
              </w:rPr>
              <w:t>Amount ($000s)</w:t>
            </w:r>
          </w:p>
        </w:tc>
      </w:tr>
      <w:tr>
        <w:trPr/>
        <w:tc>
          <w:tcPr>
            <w:tcW w:w="7650" w:type="dxa"/>
            <w:tcBorders/>
          </w:tcPr>
          <w:p>
            <w:pPr>
              <w:pStyle w:val="Normal"/>
              <w:rPr>
                <w:rFonts w:ascii="Arial" w:hAnsi="Arial" w:cs="Arial"/>
                <w:sz w:val="20"/>
              </w:rPr>
            </w:pPr>
            <w:r>
              <w:rPr>
                <w:rFonts w:cs="Arial" w:ascii="Arial" w:hAnsi="Arial"/>
                <w:sz w:val="20"/>
              </w:rPr>
              <w:t>Total Deal/Project Capital Commitment</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Financing</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Syndications</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rHeight w:val="23" w:hRule="exact"/>
        </w:trPr>
        <w:tc>
          <w:tcPr>
            <w:tcW w:w="7650" w:type="dxa"/>
            <w:tcBorders/>
          </w:tcPr>
          <w:p>
            <w:pPr>
              <w:pStyle w:val="Normal"/>
              <w:rPr>
                <w:rFonts w:ascii="Arial" w:hAnsi="Arial" w:cs="Arial"/>
                <w:sz w:val="20"/>
              </w:rPr>
            </w:pPr>
            <w:r>
              <w:rPr>
                <w:rFonts w:cs="Arial" w:ascii="Arial" w:hAnsi="Arial"/>
                <w:sz w:val="20"/>
              </w:rPr>
              <w:t>Net Enron Investment</w:t>
            </w:r>
          </w:p>
        </w:tc>
        <w:tc>
          <w:tcPr>
            <w:tcW w:w="2250" w:type="dxa"/>
            <w:tcBorders/>
          </w:tcPr>
          <w:p>
            <w:pPr>
              <w:pStyle w:val="Normal"/>
              <w:rPr>
                <w:rFonts w:ascii="Arial" w:hAnsi="Arial" w:cs="Arial"/>
                <w:sz w:val="20"/>
                <w:lang w:val="en-CA" w:eastAsia="en-CA"/>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p>
      <w:pPr>
        <w:pStyle w:val="Normal"/>
        <w:numPr>
          <w:ilvl w:val="0"/>
          <w:numId w:val="9"/>
        </w:numPr>
        <w:rPr>
          <w:rFonts w:ascii="Arial" w:hAnsi="Arial" w:cs="Arial"/>
          <w:sz w:val="20"/>
        </w:rPr>
      </w:pPr>
      <w:r>
        <w:rPr>
          <w:rFonts w:cs="Arial" w:ascii="Arial" w:hAnsi="Arial"/>
          <w:b/>
          <w:sz w:val="20"/>
        </w:rPr>
        <w:t>Investment terms and pricing:</w:t>
      </w:r>
      <w:r>
        <w:rPr>
          <w:rFonts w:cs="Arial" w:ascii="Arial" w:hAnsi="Arial"/>
          <w:sz w:val="20"/>
        </w:rPr>
        <w:tab/>
        <w:tab/>
      </w:r>
      <w:r>
        <w:rPr>
          <w:rFonts w:cs="Arial" w:ascii="Arial" w:hAnsi="Arial"/>
          <w:b/>
          <w:bCs/>
          <w:sz w:val="20"/>
        </w:rPr>
        <w:t>Market</w:t>
      </w:r>
      <w:r>
        <w:rPr>
          <w:rFonts w:cs="Arial" w:ascii="Arial" w:hAnsi="Arial"/>
          <w:sz w:val="20"/>
        </w:rPr>
        <w:t>,</w:t>
      </w:r>
      <w:r>
        <w:rPr>
          <w:rFonts w:cs="Arial" w:ascii="Arial" w:hAnsi="Arial"/>
          <w:b/>
          <w:bCs/>
          <w:sz w:val="20"/>
        </w:rPr>
        <w:t xml:space="preserve"> Above Market </w:t>
      </w:r>
      <w:r>
        <w:rPr>
          <w:rFonts w:cs="Arial" w:ascii="Arial" w:hAnsi="Arial"/>
          <w:sz w:val="20"/>
        </w:rPr>
        <w:t>or</w:t>
      </w:r>
      <w:r>
        <w:rPr>
          <w:rFonts w:cs="Arial" w:ascii="Arial" w:hAnsi="Arial"/>
          <w:b/>
          <w:bCs/>
          <w:sz w:val="20"/>
        </w:rPr>
        <w:t xml:space="preserve"> Below Market</w:t>
      </w:r>
      <w:r>
        <w:rPr>
          <w:rFonts w:cs="Arial" w:ascii="Arial" w:hAnsi="Arial"/>
          <w:sz w:val="20"/>
        </w:rPr>
        <w:br/>
        <w:br/>
        <w:t>Describe (if necessary):</w:t>
        <w:br/>
        <w:br/>
        <w:br/>
      </w:r>
    </w:p>
    <w:p>
      <w:pPr>
        <w:pStyle w:val="Normal"/>
        <w:numPr>
          <w:ilvl w:val="0"/>
          <w:numId w:val="9"/>
        </w:numPr>
        <w:rPr>
          <w:rFonts w:ascii="Arial" w:hAnsi="Arial" w:cs="Arial"/>
          <w:sz w:val="20"/>
        </w:rPr>
      </w:pPr>
      <w:r>
        <w:rPr>
          <w:rFonts w:cs="Arial" w:ascii="Arial" w:hAnsi="Arial"/>
          <w:b/>
          <w:sz w:val="20"/>
        </w:rPr>
        <w:t>Financing terms and pricing:</w:t>
      </w:r>
      <w:r>
        <w:rPr>
          <w:rFonts w:cs="Arial" w:ascii="Arial" w:hAnsi="Arial"/>
          <w:sz w:val="20"/>
        </w:rPr>
        <w:tab/>
        <w:tab/>
      </w:r>
      <w:r>
        <w:rPr>
          <w:rFonts w:cs="Arial" w:ascii="Arial" w:hAnsi="Arial"/>
          <w:b/>
          <w:bCs/>
          <w:sz w:val="20"/>
        </w:rPr>
        <w:t>Market</w:t>
      </w:r>
      <w:r>
        <w:rPr>
          <w:rFonts w:cs="Arial" w:ascii="Arial" w:hAnsi="Arial"/>
          <w:sz w:val="20"/>
        </w:rPr>
        <w:t>,</w:t>
      </w:r>
      <w:r>
        <w:rPr>
          <w:rFonts w:cs="Arial" w:ascii="Arial" w:hAnsi="Arial"/>
          <w:b/>
          <w:bCs/>
          <w:sz w:val="20"/>
        </w:rPr>
        <w:t xml:space="preserve"> Above Market </w:t>
      </w:r>
      <w:r>
        <w:rPr>
          <w:rFonts w:cs="Arial" w:ascii="Arial" w:hAnsi="Arial"/>
          <w:sz w:val="20"/>
        </w:rPr>
        <w:t>or</w:t>
      </w:r>
      <w:r>
        <w:rPr>
          <w:rFonts w:cs="Arial" w:ascii="Arial" w:hAnsi="Arial"/>
          <w:b/>
          <w:bCs/>
          <w:sz w:val="20"/>
        </w:rPr>
        <w:t xml:space="preserve"> Below Market</w:t>
      </w:r>
      <w:r>
        <w:rPr>
          <w:rFonts w:cs="Arial" w:ascii="Arial" w:hAnsi="Arial"/>
          <w:sz w:val="20"/>
        </w:rPr>
        <w:br/>
        <w:br/>
        <w:t>Describe (if necessary):</w:t>
        <w:br/>
        <w:br/>
        <w:br/>
      </w:r>
    </w:p>
    <w:p>
      <w:pPr>
        <w:pStyle w:val="Normal"/>
        <w:numPr>
          <w:ilvl w:val="0"/>
          <w:numId w:val="9"/>
        </w:numPr>
        <w:rPr>
          <w:rFonts w:ascii="Arial" w:hAnsi="Arial" w:cs="Arial"/>
          <w:sz w:val="20"/>
        </w:rPr>
      </w:pPr>
      <w:r>
        <w:rPr>
          <w:rFonts w:cs="Arial" w:ascii="Arial" w:hAnsi="Arial"/>
          <w:b/>
          <w:sz w:val="20"/>
        </w:rPr>
        <w:t>Legal or practical liquidity restrictions:</w:t>
      </w:r>
      <w:r>
        <w:rPr>
          <w:rFonts w:cs="Arial" w:ascii="Arial" w:hAnsi="Arial"/>
          <w:sz w:val="20"/>
        </w:rPr>
        <w:tab/>
      </w:r>
      <w:r>
        <w:rPr>
          <w:rFonts w:cs="Arial" w:ascii="Arial" w:hAnsi="Arial"/>
          <w:b/>
          <w:bCs/>
          <w:sz w:val="20"/>
        </w:rPr>
        <w:t>Unrestricted</w:t>
      </w:r>
      <w:r>
        <w:rPr>
          <w:rFonts w:cs="Arial" w:ascii="Arial" w:hAnsi="Arial"/>
          <w:sz w:val="20"/>
        </w:rPr>
        <w:t>,</w:t>
      </w:r>
      <w:r>
        <w:rPr>
          <w:rFonts w:cs="Arial" w:ascii="Arial" w:hAnsi="Arial"/>
          <w:b/>
          <w:bCs/>
          <w:sz w:val="20"/>
        </w:rPr>
        <w:t xml:space="preserve"> Legally Restricted </w:t>
      </w:r>
      <w:r>
        <w:rPr>
          <w:rFonts w:cs="Arial" w:ascii="Arial" w:hAnsi="Arial"/>
          <w:sz w:val="20"/>
        </w:rPr>
        <w:t>or</w:t>
      </w:r>
      <w:r>
        <w:rPr>
          <w:rFonts w:cs="Arial" w:ascii="Arial" w:hAnsi="Arial"/>
          <w:b/>
          <w:bCs/>
          <w:sz w:val="20"/>
        </w:rPr>
        <w:t xml:space="preserve"> Practically Restricted</w:t>
      </w:r>
      <w:r>
        <w:rPr>
          <w:rFonts w:cs="Arial" w:ascii="Arial" w:hAnsi="Arial"/>
          <w:sz w:val="20"/>
        </w:rPr>
        <w:br/>
      </w:r>
    </w:p>
    <w:p>
      <w:pPr>
        <w:pStyle w:val="Normal"/>
        <w:ind w:firstLine="360" w:end="0"/>
        <w:rPr>
          <w:rFonts w:ascii="Arial" w:hAnsi="Arial" w:cs="Arial"/>
          <w:sz w:val="20"/>
        </w:rPr>
      </w:pPr>
      <w:r>
        <w:rPr>
          <w:rFonts w:cs="Arial" w:ascii="Arial" w:hAnsi="Arial"/>
          <w:sz w:val="20"/>
        </w:rPr>
        <w:t>Describe (if necessary):</w:t>
        <w:br/>
        <w:br/>
        <w:br/>
      </w:r>
    </w:p>
    <w:p>
      <w:pPr>
        <w:pStyle w:val="Normal"/>
        <w:numPr>
          <w:ilvl w:val="0"/>
          <w:numId w:val="9"/>
        </w:numPr>
        <w:rPr>
          <w:rFonts w:ascii="Arial" w:hAnsi="Arial" w:cs="Arial"/>
          <w:sz w:val="20"/>
        </w:rPr>
      </w:pPr>
      <w:r>
        <w:rPr>
          <w:rFonts w:cs="Arial" w:ascii="Arial" w:hAnsi="Arial"/>
          <w:b/>
          <w:sz w:val="20"/>
        </w:rPr>
        <w:t>Any recourse to Enron (other than investment):</w:t>
      </w:r>
      <w:r>
        <w:rPr>
          <w:rFonts w:cs="Arial" w:ascii="Arial" w:hAnsi="Arial"/>
          <w:sz w:val="20"/>
        </w:rPr>
        <w:tab/>
        <w:tab/>
      </w:r>
      <w:r>
        <w:rPr>
          <w:rFonts w:cs="Arial" w:ascii="Arial" w:hAnsi="Arial"/>
          <w:b/>
          <w:bCs/>
          <w:sz w:val="20"/>
        </w:rPr>
        <w:t xml:space="preserve">Recourse </w:t>
      </w:r>
      <w:r>
        <w:rPr>
          <w:rFonts w:cs="Arial" w:ascii="Arial" w:hAnsi="Arial"/>
          <w:sz w:val="20"/>
        </w:rPr>
        <w:t>or</w:t>
      </w:r>
      <w:r>
        <w:rPr>
          <w:rFonts w:cs="Arial" w:ascii="Arial" w:hAnsi="Arial"/>
          <w:b/>
          <w:bCs/>
          <w:sz w:val="20"/>
        </w:rPr>
        <w:t xml:space="preserve"> No Recourse</w:t>
      </w:r>
      <w:r>
        <w:rPr>
          <w:rFonts w:cs="Arial" w:ascii="Arial" w:hAnsi="Arial"/>
          <w:sz w:val="20"/>
        </w:rPr>
        <w:br/>
        <w:br/>
        <w:t>Describe (if any):</w:t>
        <w:br/>
        <w:br/>
        <w:br/>
      </w:r>
    </w:p>
    <w:p>
      <w:pPr>
        <w:pStyle w:val="Normal"/>
        <w:numPr>
          <w:ilvl w:val="0"/>
          <w:numId w:val="7"/>
        </w:numPr>
        <w:rPr>
          <w:rFonts w:ascii="Arial" w:hAnsi="Arial" w:cs="Arial"/>
          <w:sz w:val="20"/>
        </w:rPr>
      </w:pPr>
      <w:r>
        <w:rPr>
          <w:rFonts w:cs="Arial" w:ascii="Arial" w:hAnsi="Arial"/>
          <w:b/>
          <w:sz w:val="20"/>
        </w:rPr>
        <w:t>Business unit intent to syndicate:</w:t>
      </w:r>
      <w:r>
        <w:rPr>
          <w:rFonts w:cs="Arial" w:ascii="Arial" w:hAnsi="Arial"/>
          <w:sz w:val="20"/>
        </w:rPr>
        <w:tab/>
        <w:tab/>
      </w:r>
      <w:r>
        <w:rPr>
          <w:rFonts w:cs="Arial" w:ascii="Arial" w:hAnsi="Arial"/>
          <w:b/>
          <w:bCs/>
          <w:sz w:val="20"/>
        </w:rPr>
        <w:t>None</w:t>
      </w:r>
      <w:r>
        <w:rPr>
          <w:rFonts w:cs="Arial" w:ascii="Arial" w:hAnsi="Arial"/>
          <w:sz w:val="20"/>
        </w:rPr>
        <w:t>,</w:t>
      </w:r>
      <w:r>
        <w:rPr>
          <w:rFonts w:cs="Arial" w:ascii="Arial" w:hAnsi="Arial"/>
          <w:b/>
          <w:bCs/>
          <w:sz w:val="20"/>
        </w:rPr>
        <w:t xml:space="preserve"> Partial </w:t>
      </w:r>
      <w:r>
        <w:rPr>
          <w:rFonts w:cs="Arial" w:ascii="Arial" w:hAnsi="Arial"/>
          <w:sz w:val="20"/>
        </w:rPr>
        <w:t>or</w:t>
      </w:r>
      <w:r>
        <w:rPr>
          <w:rFonts w:cs="Arial" w:ascii="Arial" w:hAnsi="Arial"/>
          <w:b/>
          <w:bCs/>
          <w:sz w:val="20"/>
        </w:rPr>
        <w:t xml:space="preserve"> All</w:t>
      </w:r>
      <w:r>
        <w:rPr>
          <w:rFonts w:cs="Arial" w:ascii="Arial" w:hAnsi="Arial"/>
          <w:sz w:val="20"/>
        </w:rPr>
        <w:br/>
        <w:br/>
        <w:t>Describe (if necessary):</w:t>
        <w:br/>
        <w:br/>
      </w:r>
    </w:p>
    <w:p>
      <w:pPr>
        <w:pStyle w:val="Normal"/>
        <w:numPr>
          <w:ilvl w:val="0"/>
          <w:numId w:val="10"/>
        </w:numPr>
        <w:rPr>
          <w:rFonts w:ascii="Arial" w:hAnsi="Arial" w:cs="Arial"/>
          <w:sz w:val="20"/>
        </w:rPr>
      </w:pPr>
      <w:r>
        <w:rPr>
          <w:rFonts w:cs="Arial" w:ascii="Arial" w:hAnsi="Arial"/>
          <w:b/>
          <w:sz w:val="20"/>
        </w:rPr>
        <w:t>Intended Enron hold period:</w:t>
        <w:tab/>
        <w:tab/>
        <w:tab/>
      </w:r>
    </w:p>
    <w:p>
      <w:pPr>
        <w:pStyle w:val="Normal"/>
        <w:rPr>
          <w:rFonts w:ascii="Arial" w:hAnsi="Arial" w:cs="Arial"/>
          <w:sz w:val="20"/>
        </w:rPr>
      </w:pPr>
      <w:r>
        <w:rPr>
          <w:rFonts w:cs="Arial" w:ascii="Arial" w:hAnsi="Arial"/>
          <w:sz w:val="20"/>
        </w:rPr>
        <w:br/>
      </w:r>
    </w:p>
    <w:p>
      <w:pPr>
        <w:pStyle w:val="Normal"/>
        <w:numPr>
          <w:ilvl w:val="0"/>
          <w:numId w:val="4"/>
        </w:numPr>
        <w:rPr>
          <w:rFonts w:ascii="Arial" w:hAnsi="Arial" w:cs="Arial"/>
          <w:sz w:val="20"/>
        </w:rPr>
      </w:pPr>
      <w:r>
        <w:rPr>
          <w:rFonts w:cs="Arial" w:ascii="Arial" w:hAnsi="Arial"/>
          <w:b/>
          <w:sz w:val="20"/>
        </w:rPr>
        <w:t>Likely Syndication Market:</w:t>
      </w:r>
      <w:r>
        <w:rPr/>
        <w:tab/>
      </w:r>
    </w:p>
    <w:tbl>
      <w:tblPr>
        <w:tblW w:w="6559" w:type="dxa"/>
        <w:jc w:val="center"/>
        <w:tblInd w:w="0" w:type="dxa"/>
        <w:tblLayout w:type="fixed"/>
        <w:tblCellMar>
          <w:top w:w="0" w:type="dxa"/>
          <w:start w:w="108" w:type="dxa"/>
          <w:bottom w:w="0" w:type="dxa"/>
          <w:end w:w="108" w:type="dxa"/>
        </w:tblCellMar>
      </w:tblPr>
      <w:tblGrid>
        <w:gridCol w:w="533"/>
        <w:gridCol w:w="2750"/>
        <w:gridCol w:w="526"/>
        <w:gridCol w:w="2750"/>
      </w:tblGrid>
      <w:tr>
        <w:trPr/>
        <w:tc>
          <w:tcPr>
            <w:tcW w:w="533"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Industry/Strategic Partner</w:t>
            </w:r>
          </w:p>
        </w:tc>
        <w:tc>
          <w:tcPr>
            <w:tcW w:w="526"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Direct Private Equity</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Capital Markets</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1</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EnSerCo</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LJM 1 or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Condor</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Other:</w:t>
            </w:r>
          </w:p>
        </w:tc>
        <w:tc>
          <w:tcPr>
            <w:tcW w:w="526" w:type="dxa"/>
            <w:tcBorders>
              <w:top w:val="single" w:sz="4" w:space="0" w:color="000000"/>
              <w:bottom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2750" w:type="dxa"/>
            <w:tcBorders/>
          </w:tcPr>
          <w:p>
            <w:pPr>
              <w:pStyle w:val="Normal"/>
              <w:rPr>
                <w:rFonts w:ascii="Arial" w:hAnsi="Arial" w:cs="Arial"/>
                <w:sz w:val="20"/>
              </w:rPr>
            </w:pPr>
            <w:r>
              <w:rPr>
                <w:rFonts w:cs="Arial" w:ascii="Arial" w:hAnsi="Arial"/>
                <w:b/>
                <w:bCs/>
                <w:sz w:val="20"/>
              </w:rPr>
              <w:t>M</w:t>
            </w:r>
            <w:r>
              <w:rPr>
                <w:rFonts w:cs="Arial" w:ascii="Arial" w:hAnsi="Arial"/>
                <w:b/>
                <w:sz w:val="20"/>
              </w:rPr>
              <w:t>argaux</w:t>
            </w:r>
          </w:p>
        </w:tc>
      </w:tr>
    </w:tbl>
    <w:p>
      <w:pPr>
        <w:pStyle w:val="Normal"/>
        <w:tabs>
          <w:tab w:val="left" w:pos="720" w:leader="none"/>
        </w:tabs>
        <w:ind w:start="360" w:end="0"/>
        <w:rPr/>
      </w:pPr>
      <w:r>
        <w:rPr>
          <w:rFonts w:cs="Arial" w:ascii="Arial" w:hAnsi="Arial"/>
          <w:sz w:val="20"/>
        </w:rPr>
        <w:tab/>
        <w:tab/>
      </w:r>
      <w:r>
        <w:rPr>
          <w:rFonts w:cs="Arial" w:ascii="Arial" w:hAnsi="Arial"/>
          <w:b/>
          <w:sz w:val="20"/>
        </w:rPr>
        <w:tab/>
        <w:tab/>
      </w:r>
    </w:p>
    <w:p>
      <w:pPr>
        <w:pStyle w:val="Normal"/>
        <w:tabs>
          <w:tab w:val="clear" w:pos="720"/>
          <w:tab w:val="left" w:pos="4320" w:leader="none"/>
        </w:tabs>
        <w:rPr/>
      </w:pPr>
      <w:r>
        <w:rPr>
          <w:rFonts w:cs="Arial" w:ascii="Arial" w:hAnsi="Arial"/>
          <w:sz w:val="20"/>
        </w:rPr>
        <w:tab/>
      </w:r>
      <w:r>
        <w:rPr>
          <w:rFonts w:cs="Arial" w:ascii="Arial" w:hAnsi="Arial"/>
          <w:b/>
          <w:sz w:val="20"/>
        </w:rPr>
        <w:tab/>
        <w:tab/>
        <w:tab/>
      </w:r>
    </w:p>
    <w:p>
      <w:pPr>
        <w:pStyle w:val="Normal"/>
        <w:numPr>
          <w:ilvl w:val="0"/>
          <w:numId w:val="8"/>
        </w:numPr>
        <w:rPr>
          <w:rFonts w:ascii="Arial" w:hAnsi="Arial" w:cs="Arial"/>
          <w:sz w:val="20"/>
        </w:rPr>
      </w:pPr>
      <w:r>
        <w:rPr>
          <w:rFonts w:cs="Arial" w:ascii="Arial" w:hAnsi="Arial"/>
          <w:b/>
          <w:sz w:val="20"/>
        </w:rPr>
        <w:t>Is this a JEDI 2 “Qualified Investment”?</w:t>
      </w:r>
      <w:r>
        <w:rPr>
          <w:rFonts w:cs="Arial" w:ascii="Arial" w:hAnsi="Arial"/>
          <w:sz w:val="20"/>
        </w:rPr>
        <w:tab/>
        <w:tab/>
      </w:r>
      <w:r>
        <w:rPr>
          <w:rFonts w:cs="Arial" w:ascii="Arial" w:hAnsi="Arial"/>
          <w:b/>
          <w:bCs/>
          <w:sz w:val="20"/>
        </w:rPr>
        <w:t xml:space="preserve">Yes </w:t>
      </w:r>
      <w:r>
        <w:rPr>
          <w:rFonts w:cs="Arial" w:ascii="Arial" w:hAnsi="Arial"/>
          <w:sz w:val="20"/>
        </w:rPr>
        <w:t>or</w:t>
      </w:r>
      <w:r>
        <w:rPr>
          <w:rFonts w:cs="Arial" w:ascii="Arial" w:hAnsi="Arial"/>
          <w:b/>
          <w:bCs/>
          <w:sz w:val="20"/>
        </w:rPr>
        <w:t xml:space="preserve"> No</w:t>
      </w:r>
    </w:p>
    <w:p>
      <w:pPr>
        <w:pStyle w:val="Normal"/>
        <w:ind w:start="360" w:end="0"/>
        <w:rPr>
          <w:rFonts w:ascii="Arial" w:hAnsi="Arial" w:cs="Arial"/>
          <w:sz w:val="20"/>
        </w:rPr>
      </w:pPr>
      <w:r>
        <w:rPr>
          <w:rFonts w:cs="Arial" w:ascii="Arial" w:hAnsi="Arial"/>
          <w:sz w:val="20"/>
        </w:rPr>
      </w:r>
    </w:p>
    <w:tbl>
      <w:tblPr>
        <w:tblW w:w="10440" w:type="dxa"/>
        <w:jc w:val="start"/>
        <w:tblInd w:w="0" w:type="dxa"/>
        <w:tblLayout w:type="fixed"/>
        <w:tblCellMar>
          <w:top w:w="0" w:type="dxa"/>
          <w:start w:w="108" w:type="dxa"/>
          <w:bottom w:w="0" w:type="dxa"/>
          <w:end w:w="108" w:type="dxa"/>
        </w:tblCellMar>
      </w:tblPr>
      <w:tblGrid>
        <w:gridCol w:w="3078"/>
        <w:gridCol w:w="2970"/>
        <w:gridCol w:w="2880"/>
        <w:gridCol w:w="1512"/>
      </w:tblGrid>
      <w:tr>
        <w:trPr/>
        <w:tc>
          <w:tcPr>
            <w:tcW w:w="3078" w:type="dxa"/>
            <w:tcBorders>
              <w:top w:val="single" w:sz="4" w:space="0" w:color="000000"/>
              <w:start w:val="single" w:sz="4" w:space="0" w:color="000000"/>
              <w:bottom w:val="single" w:sz="4" w:space="0" w:color="000000"/>
              <w:end w:val="single" w:sz="4" w:space="0" w:color="000000"/>
            </w:tcBorders>
          </w:tcPr>
          <w:p>
            <w:pPr>
              <w:pStyle w:val="Heading6"/>
              <w:ind w:hanging="0" w:start="0"/>
              <w:rPr>
                <w:rFonts w:ascii="Arial" w:hAnsi="Arial" w:cs="Arial"/>
              </w:rPr>
            </w:pPr>
            <w:r>
              <w:rPr>
                <w:rFonts w:cs="Arial" w:ascii="Arial" w:hAnsi="Arial"/>
              </w:rPr>
              <w:t>Function</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Signature</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Name</w:t>
            </w:r>
          </w:p>
        </w:tc>
        <w:tc>
          <w:tcPr>
            <w:tcW w:w="15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Date</w:t>
            </w:r>
          </w:p>
        </w:tc>
      </w:tr>
      <w:tr>
        <w:trPr>
          <w:trHeight w:val="314"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Representative</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r>
        <w:trPr>
          <w:trHeight w:val="350"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Legal</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6</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rFonts w:ascii="Arial" w:hAnsi="Arial" w:cs="Arial"/>
              <w:b/>
            </w:rPr>
          </w:pPr>
          <w:r>
            <w:rPr>
              <w:rFonts w:cs="Arial" w:ascii="Arial" w:hAnsi="Arial"/>
              <w:b/>
            </w:rPr>
            <w:t>RAC Deal Approval Sheet</w:t>
            <w:tab/>
            <w:t xml:space="preserve">                   </w:t>
          </w:r>
        </w:p>
      </w:tc>
      <w:tc>
        <w:tcPr>
          <w:tcW w:w="6372" w:type="dxa"/>
          <w:tcBorders/>
        </w:tcPr>
        <w:p>
          <w:pPr>
            <w:pStyle w:val="Header"/>
            <w:jc w:val="end"/>
            <w:rPr/>
          </w:pPr>
          <w:r>
            <w:rPr>
              <w:rFonts w:cs="Arial" w:ascii="Arial" w:hAnsi="Arial"/>
              <w:b/>
            </w:rPr>
            <w:t xml:space="preserve">Deal Name: </w:t>
          </w:r>
          <w:r>
            <w:rPr>
              <w:rFonts w:cs="Arial" w:ascii="Arial" w:hAnsi="Arial"/>
              <w:b/>
            </w:rPr>
            <w:fldChar w:fldCharType="begin"/>
          </w:r>
          <w:r>
            <w:rPr>
              <w:b/>
              <w:rFonts w:cs="Arial" w:ascii="Arial" w:hAnsi="Arial"/>
            </w:rPr>
            <w:instrText xml:space="preserve"> FILENAME </w:instrText>
          </w:r>
          <w:r>
            <w:rPr>
              <w:b/>
              <w:rFonts w:cs="Arial" w:ascii="Arial" w:hAnsi="Arial"/>
            </w:rPr>
            <w:fldChar w:fldCharType="separate"/>
          </w:r>
          <w:r>
            <w:rPr>
              <w:b/>
              <w:rFonts w:cs="Arial" w:ascii="Arial" w:hAnsi="Arial"/>
            </w:rPr>
            <w:t>Triton_Bid_8_23_01b.doc</w:t>
          </w:r>
          <w:r>
            <w:rPr>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35"/>
        </w:tabs>
        <w:ind w:start="735" w:hanging="735"/>
      </w:pPr>
      <w:rPr>
        <w:i w:val="false"/>
        <w:b w:val="false"/>
      </w:rPr>
    </w:lvl>
  </w:abstractNum>
  <w:abstractNum w:abstractNumId="4">
    <w:lvl w:ilvl="0">
      <w:start w:val="6"/>
      <w:numFmt w:val="decimal"/>
      <w:lvlText w:val="%1c."/>
      <w:lvlJc w:val="start"/>
      <w:pPr>
        <w:tabs>
          <w:tab w:val="num" w:pos="360"/>
        </w:tabs>
        <w:ind w:start="360" w:hanging="360"/>
      </w:pPr>
      <w:rPr>
        <w:i w:val="false"/>
        <w:b w:val="false"/>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6"/>
      <w:numFmt w:val="decimal"/>
      <w:lvlText w:val="%1a."/>
      <w:lvlJc w:val="start"/>
      <w:pPr>
        <w:tabs>
          <w:tab w:val="num" w:pos="360"/>
        </w:tabs>
        <w:ind w:start="360" w:hanging="360"/>
      </w:pPr>
    </w:lvl>
  </w:abstractNum>
  <w:abstractNum w:abstractNumId="8">
    <w:lvl w:ilvl="0">
      <w:start w:val="6"/>
      <w:numFmt w:val="decimal"/>
      <w:lvlText w:val="%1d."/>
      <w:lvlJc w:val="start"/>
      <w:pPr>
        <w:tabs>
          <w:tab w:val="num" w:pos="360"/>
        </w:tabs>
        <w:ind w:start="360" w:hanging="360"/>
      </w:pPr>
    </w:lvl>
  </w:abstractNum>
  <w:abstractNum w:abstractNumId="9">
    <w:lvl w:ilvl="0">
      <w:start w:val="2"/>
      <w:numFmt w:val="decimal"/>
      <w:lvlText w:val="%1."/>
      <w:lvlJc w:val="start"/>
      <w:pPr>
        <w:tabs>
          <w:tab w:val="num" w:pos="360"/>
        </w:tabs>
        <w:ind w:start="360" w:hanging="360"/>
      </w:pPr>
    </w:lvl>
  </w:abstractNum>
  <w:abstractNum w:abstractNumId="10">
    <w:lvl w:ilvl="0">
      <w:start w:val="6"/>
      <w:numFmt w:val="decimal"/>
      <w:lvlText w:val="%1b."/>
      <w:lvlJc w:val="start"/>
      <w:pPr>
        <w:tabs>
          <w:tab w:val="num" w:pos="360"/>
        </w:tabs>
        <w:ind w:start="360" w:hanging="360"/>
      </w:p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jc w:val="center"/>
      <w:outlineLvl w:val="6"/>
    </w:pPr>
    <w:rPr>
      <w:rFonts w:ascii="Arial" w:hAnsi="Arial" w:cs="Arial"/>
      <w:sz w:val="20"/>
      <w:u w:val="single"/>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b w:val="false"/>
      <w:i w:val="false"/>
    </w:rPr>
  </w:style>
  <w:style w:type="character" w:styleId="WW8Num6z0">
    <w:name w:val="WW8Num6z0"/>
    <w:qFormat/>
    <w:rPr>
      <w:b w:val="false"/>
      <w:i w:val="false"/>
    </w:rPr>
  </w:style>
  <w:style w:type="character" w:styleId="WW8Num7z0">
    <w:name w:val="WW8Num7z0"/>
    <w:qFormat/>
    <w:rPr/>
  </w:style>
  <w:style w:type="character" w:styleId="WW8Num8z0">
    <w:name w:val="WW8Num8z0"/>
    <w:qFormat/>
    <w:rPr>
      <w:rFonts w:ascii="Wingdings" w:hAnsi="Wingdings" w:cs="Wingdings"/>
      <w:sz w:val="16"/>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sz w:val="16"/>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jc w:val="both"/>
    </w:pPr>
    <w:rPr>
      <w:rFonts w:ascii="Arial" w:hAnsi="Arial" w:cs="Arial"/>
      <w:bC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rPr>
      <w:rFonts w:ascii="Arial" w:hAnsi="Arial" w:cs="Arial"/>
      <w:b/>
      <w:bCs/>
      <w:iCs/>
      <w:sz w:val="20"/>
    </w:rPr>
  </w:style>
  <w:style w:type="paragraph" w:styleId="BodyTextIndent">
    <w:name w:val="Body Text Indent"/>
    <w:basedOn w:val="Normal"/>
    <w:pPr>
      <w:ind w:hanging="0" w:start="360" w:end="0"/>
      <w:jc w:val="both"/>
    </w:pPr>
    <w:rPr>
      <w:rFonts w:ascii="Arial" w:hAnsi="Arial" w:cs="Arial"/>
      <w:sz w:val="20"/>
    </w:rPr>
  </w:style>
  <w:style w:type="paragraph" w:styleId="BodyTextIndent2">
    <w:name w:val="Body Text Indent 2"/>
    <w:basedOn w:val="Normal"/>
    <w:qFormat/>
    <w:pPr>
      <w:ind w:firstLine="360" w:start="0" w:end="0"/>
      <w:jc w:val="both"/>
    </w:pPr>
    <w:rPr>
      <w:rFonts w:ascii="Arial" w:hAnsi="Arial" w:cs="Arial"/>
      <w:sz w:val="20"/>
    </w:rPr>
  </w:style>
  <w:style w:type="paragraph" w:styleId="BodyText3">
    <w:name w:val="Body Text 3"/>
    <w:basedOn w:val="Normal"/>
    <w:qFormat/>
    <w:pPr>
      <w:jc w:val="both"/>
    </w:pPr>
    <w:rPr/>
  </w:style>
  <w:style w:type="paragraph" w:styleId="BodyTextIndent3">
    <w:name w:val="Body Text Indent 3"/>
    <w:basedOn w:val="Normal"/>
    <w:qFormat/>
    <w:pPr>
      <w:ind w:hanging="180" w:start="900" w:end="0"/>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mailto:NPV@15%25"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2001-08-23T14:02:00Z</dcterms:created>
  <dc:creator>kjolly</dc:creator>
  <dc:description>V3.3
Updated to add filename to headers
</dc:description>
  <dc:language>en-CA</dc:language>
  <cp:lastModifiedBy>blarson</cp:lastModifiedBy>
  <cp:lastPrinted>2001-08-23T11:32:00Z</cp:lastPrinted>
  <dcterms:modified xsi:type="dcterms:W3CDTF">2001-08-23T14:02:00Z</dcterms:modified>
  <cp:revision>2</cp:revision>
  <dc:subject/>
  <dc:title>ENRON RISK ASSESSMENT AND CONTROL</dc:title>
</cp:coreProperties>
</file>