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Michelle Cash, Anne Koehler, Cynthia Barrow and Mary Joyce</w:t>
        <w:tab/>
        <w:t>October 17, 2000</w:t>
      </w:r>
    </w:p>
    <w:p>
      <w:pPr>
        <w:pStyle w:val="Normal"/>
        <w:rPr/>
      </w:pPr>
      <w:r>
        <w:rPr/>
      </w:r>
    </w:p>
    <w:p>
      <w:pPr>
        <w:pStyle w:val="Normal"/>
        <w:rPr/>
      </w:pPr>
      <w:r>
        <w:rPr/>
        <w:t>From:  Patrick Mackin</w:t>
      </w:r>
    </w:p>
    <w:p>
      <w:pPr>
        <w:pStyle w:val="Normal"/>
        <w:rPr/>
      </w:pPr>
      <w:r>
        <w:rPr/>
      </w:r>
    </w:p>
    <w:p>
      <w:pPr>
        <w:pStyle w:val="Normal"/>
        <w:rPr/>
      </w:pPr>
      <w:r>
        <w:rPr/>
        <w:t>Subject:  Triple Lutz Purchase and Sale Agreement.</w:t>
      </w:r>
    </w:p>
    <w:p>
      <w:pPr>
        <w:pStyle w:val="Normal"/>
        <w:rPr/>
      </w:pPr>
      <w:r>
        <w:rPr/>
      </w:r>
    </w:p>
    <w:p>
      <w:pPr>
        <w:pStyle w:val="Heading1"/>
        <w:ind w:hanging="0" w:start="0"/>
        <w:rPr/>
      </w:pPr>
      <w:r>
        <w:rPr/>
        <w:t>Confidential Memorandum</w:t>
      </w:r>
    </w:p>
    <w:p>
      <w:pPr>
        <w:pStyle w:val="Normal"/>
        <w:rPr/>
      </w:pPr>
      <w:r>
        <w:rPr/>
      </w:r>
    </w:p>
    <w:p>
      <w:pPr>
        <w:pStyle w:val="Normal"/>
        <w:rPr/>
      </w:pPr>
      <w:r>
        <w:rPr/>
      </w:r>
    </w:p>
    <w:p>
      <w:pPr>
        <w:pStyle w:val="Normal"/>
        <w:rPr/>
      </w:pPr>
      <w:r>
        <w:rPr/>
        <w:t>In reviewing the recitals of the Purchase and Sale Agreement (“PSA”) it appears that Enron Corp. is going to sell to Buyer all of the Shares of Houston Pipeline Company (HPL) and the Newco Interest.</w:t>
      </w:r>
    </w:p>
    <w:p>
      <w:pPr>
        <w:pStyle w:val="Normal"/>
        <w:rPr/>
      </w:pPr>
      <w:r>
        <w:rPr/>
      </w:r>
    </w:p>
    <w:p>
      <w:pPr>
        <w:pStyle w:val="Normal"/>
        <w:rPr/>
      </w:pPr>
      <w:r>
        <w:rPr/>
        <w:t>For purposes of this analysis, I am going to assume that both HPL and Newco have employees, and that such employees are covered under and participate in the Benefit Plans sponsored by Enron Corp.  HPL and Newco are participating employers in the Benefit Plans sponsored by Enron Corp.  Such Benefit Plans are among the Company Benefit Plans defined in the PSA.</w:t>
      </w:r>
    </w:p>
    <w:p>
      <w:pPr>
        <w:pStyle w:val="Normal"/>
        <w:rPr/>
      </w:pPr>
      <w:r>
        <w:rPr/>
      </w:r>
    </w:p>
    <w:p>
      <w:pPr>
        <w:pStyle w:val="Normal"/>
        <w:rPr/>
      </w:pPr>
      <w:r>
        <w:rPr/>
        <w:t xml:space="preserve">What I need to find out is whether there are any other Benefit Plans in addition to those sponsored by Enron Corp. which are Company Benefit Plans.  The reason is that in drafting the benefit provisions of the Employee Matters Agreement (referenced in Section 7.3), we will generally provide that at the Closing, each of HPL and Newco will cease to participate in the Enron Corp. sponsored Benefit Plans and Enron Corp. will agree to be financially responsible for all benefits accrued and payable thereunder.  However, we need to determine if there are any compensatory plans or programs which HPL and Newco sponsor which will stay with them following the Closing.  Someone needs to identify these programs, if any, and make a list of them.  </w:t>
      </w:r>
    </w:p>
    <w:p>
      <w:pPr>
        <w:pStyle w:val="Normal"/>
        <w:rPr/>
      </w:pPr>
      <w:r>
        <w:rPr/>
      </w:r>
    </w:p>
    <w:p>
      <w:pPr>
        <w:pStyle w:val="Normal"/>
        <w:rPr/>
      </w:pPr>
      <w:r>
        <w:rPr/>
        <w:t>The following definitions in the PSA apply to benefits:</w:t>
      </w:r>
    </w:p>
    <w:p>
      <w:pPr>
        <w:pStyle w:val="Normal"/>
        <w:rPr/>
      </w:pPr>
      <w:r>
        <w:rPr/>
      </w:r>
    </w:p>
    <w:p>
      <w:pPr>
        <w:pStyle w:val="Normal"/>
        <w:ind w:start="720" w:end="0"/>
        <w:jc w:val="both"/>
        <w:rPr/>
      </w:pPr>
      <w:r>
        <w:rPr/>
        <w:t>“</w:t>
      </w:r>
      <w:r>
        <w:rPr>
          <w:i/>
          <w:iCs/>
        </w:rPr>
        <w:t>Company Benefit Plans</w:t>
      </w:r>
      <w:r>
        <w:rPr/>
        <w:t xml:space="preserve">” means those Benefit Plans established or maintained by or contributed to by the Acquired Companies; or with respect to which the Acquired Companies have any liability, with respect to any employees or former employees of the Acquired Companies as of the date of this Agreement excluding any Seller Benefit Plans. </w:t>
      </w:r>
    </w:p>
    <w:p>
      <w:pPr>
        <w:pStyle w:val="Normal"/>
        <w:ind w:firstLine="720" w:start="720" w:end="0"/>
        <w:jc w:val="both"/>
        <w:rPr/>
      </w:pPr>
      <w:r>
        <w:rPr/>
      </w:r>
    </w:p>
    <w:p>
      <w:pPr>
        <w:pStyle w:val="Normal"/>
        <w:ind w:start="720" w:end="0"/>
        <w:jc w:val="both"/>
        <w:rPr/>
      </w:pPr>
      <w:r>
        <w:rPr/>
        <w:t>“</w:t>
      </w:r>
      <w:r>
        <w:rPr>
          <w:i/>
          <w:iCs/>
        </w:rPr>
        <w:t>Benefit Plans</w:t>
      </w:r>
      <w:r>
        <w:rPr/>
        <w:t>” means all employee benefit plans or arrangements, including any stock purchase, stock option, stock bonus, stock ownership, phantom stock or other stock plan, pension, profit sharing, bonus, deferred compensation, incentive compensation, severance or termination pay, hospitalization or other medical or dental, life or other insurance, supplemental unemployment benefits plan or agreement or policy or other arrangement providing employment-related compensation, fringe benefits or other benefits and including “employee benefit plans,” as defined in Section 3(3) of ERISA.</w:t>
      </w:r>
    </w:p>
    <w:p>
      <w:pPr>
        <w:pStyle w:val="Normal"/>
        <w:ind w:firstLine="720" w:start="720" w:end="0"/>
        <w:jc w:val="both"/>
        <w:rPr/>
      </w:pPr>
      <w:r>
        <w:rPr/>
      </w:r>
      <w:r>
        <w:br w:type="page"/>
      </w:r>
    </w:p>
    <w:p>
      <w:pPr>
        <w:pStyle w:val="Normal"/>
        <w:rPr/>
      </w:pPr>
      <w:r>
        <w:rPr/>
        <w:t>We should have Cynthia Barrow’s group review Section 4.14 regarding the facts stated therein.  I have have comments regarding Section 4.14 as follows:</w:t>
      </w:r>
    </w:p>
    <w:p>
      <w:pPr>
        <w:pStyle w:val="Normal"/>
        <w:rPr/>
      </w:pPr>
      <w:r>
        <w:rPr/>
      </w:r>
    </w:p>
    <w:p>
      <w:pPr>
        <w:pStyle w:val="Normal"/>
        <w:ind w:firstLine="720" w:end="0"/>
        <w:jc w:val="both"/>
        <w:rPr/>
      </w:pPr>
      <w:r>
        <w:rPr/>
      </w:r>
    </w:p>
    <w:p>
      <w:pPr>
        <w:pStyle w:val="Normal"/>
        <w:ind w:firstLine="720" w:end="0"/>
        <w:jc w:val="both"/>
        <w:rPr/>
      </w:pPr>
      <w:r>
        <w:rPr/>
        <w:t>4.14</w:t>
        <w:tab/>
      </w:r>
      <w:r>
        <w:rPr>
          <w:u w:val="single"/>
        </w:rPr>
        <w:t>Benefit Plans and Labor Matters</w:t>
      </w:r>
      <w:r>
        <w:fldChar w:fldCharType="begin"/>
      </w:r>
      <w:r>
        <w:rPr/>
        <w:instrText xml:space="preserve"> XE "4.14</w:instrText>
        <w:tab/>
        <w:instrText xml:space="preserve">Benefit Plans and Labor Matters" \f "User-Defined Index" </w:instrText>
      </w:r>
      <w:r>
        <w:rPr/>
        <w:fldChar w:fldCharType="separate"/>
      </w:r>
      <w:r>
        <w:rPr/>
      </w:r>
      <w:r>
        <w:rPr/>
        <w:fldChar w:fldCharType="end"/>
      </w:r>
      <w:r>
        <w:rPr/>
        <w:t xml:space="preserve">.  Except as set forth on </w:t>
      </w:r>
      <w:r>
        <w:rPr>
          <w:b/>
          <w:bCs/>
          <w:u w:val="single"/>
        </w:rPr>
        <w:t>Schedule 4.14</w:t>
      </w:r>
      <w:r>
        <w:rPr/>
        <w:t xml:space="preserve"> </w:t>
      </w:r>
      <w:r>
        <w:rPr>
          <w:strike/>
        </w:rPr>
        <w:t>or as would not reasonably be expected to result in a Material Adverse Effect on the Acquired Companies</w:t>
      </w:r>
      <w:r>
        <w:rPr/>
        <w:t>:</w:t>
      </w:r>
    </w:p>
    <w:p>
      <w:pPr>
        <w:pStyle w:val="Normal"/>
        <w:ind w:firstLine="720" w:end="0"/>
        <w:jc w:val="both"/>
        <w:rPr/>
      </w:pPr>
      <w:r>
        <w:rPr/>
      </w:r>
    </w:p>
    <w:p>
      <w:pPr>
        <w:pStyle w:val="Normal"/>
        <w:ind w:firstLine="720" w:end="0"/>
        <w:jc w:val="both"/>
        <w:rPr/>
      </w:pPr>
      <w:r>
        <w:rPr/>
        <w:t>(a)</w:t>
        <w:tab/>
      </w:r>
      <w:r>
        <w:rPr>
          <w:u w:val="single"/>
        </w:rPr>
        <w:t>Disclosure</w:t>
      </w:r>
      <w:r>
        <w:rPr/>
        <w:t xml:space="preserve">.  Seller has heretofore provided </w:t>
      </w:r>
      <w:r>
        <w:rPr>
          <w:strike/>
        </w:rPr>
        <w:t>or made available</w:t>
      </w:r>
      <w:r>
        <w:rPr/>
        <w:t xml:space="preserve"> to Buyer true and complete copies of each </w:t>
      </w:r>
      <w:r>
        <w:rPr>
          <w:strike/>
        </w:rPr>
        <w:t>material</w:t>
      </w:r>
      <w:r>
        <w:rPr/>
        <w:t xml:space="preserve"> Company Benefit Plan </w:t>
      </w:r>
      <w:r>
        <w:rPr>
          <w:b/>
          <w:bCs/>
          <w:u w:val="double"/>
        </w:rPr>
        <w:t>and all bonus or other incentive compensation, deferred compensation, salary continuation, disability, health, life and other welfare benefit program, stock award, stock option, stock purchase, severance, parachute or other employee benefit policies or arrangements which the Acquired Companies maintain or to which the Acquired Companies have any obligation or liability (contingent or otherwise)</w:t>
      </w:r>
      <w:r>
        <w:rPr/>
        <w:t>.</w:t>
      </w:r>
    </w:p>
    <w:p>
      <w:pPr>
        <w:pStyle w:val="Normal"/>
        <w:ind w:firstLine="720" w:end="0"/>
        <w:jc w:val="both"/>
        <w:rPr/>
      </w:pPr>
      <w:r>
        <w:rPr/>
      </w:r>
    </w:p>
    <w:p>
      <w:pPr>
        <w:pStyle w:val="BodyText"/>
        <w:rPr>
          <w:rFonts w:ascii="Arial" w:hAnsi="Arial" w:cs="Arial"/>
          <w:b/>
          <w:bCs/>
          <w:color w:val="000080"/>
          <w:sz w:val="20"/>
        </w:rPr>
      </w:pPr>
      <w:r>
        <w:rPr>
          <w:rFonts w:cs="Arial" w:ascii="Arial" w:hAnsi="Arial"/>
          <w:b/>
          <w:bCs/>
          <w:color w:val="000080"/>
          <w:sz w:val="20"/>
        </w:rPr>
        <w:t xml:space="preserve">[PM Comment:  The definitions of Company Benefit Plans and Benefit Plans should avoid having to recite this litany of programs, policies and arrangements.  If necessary, amend the definitions and then use the defined terms.]  </w:t>
      </w:r>
    </w:p>
    <w:p>
      <w:pPr>
        <w:pStyle w:val="Normal"/>
        <w:jc w:val="both"/>
        <w:rPr>
          <w:rFonts w:ascii="Arial" w:hAnsi="Arial" w:cs="Arial"/>
          <w:b/>
          <w:bCs/>
          <w:color w:val="000080"/>
          <w:sz w:val="20"/>
        </w:rPr>
      </w:pPr>
      <w:r>
        <w:rPr>
          <w:rFonts w:cs="Arial" w:ascii="Arial" w:hAnsi="Arial"/>
          <w:b/>
          <w:bCs/>
          <w:color w:val="000080"/>
          <w:sz w:val="20"/>
        </w:rPr>
      </w:r>
    </w:p>
    <w:p>
      <w:pPr>
        <w:pStyle w:val="Normal"/>
        <w:jc w:val="both"/>
        <w:rPr/>
      </w:pPr>
      <w:r>
        <w:rPr/>
      </w:r>
    </w:p>
    <w:p>
      <w:pPr>
        <w:pStyle w:val="Normal"/>
        <w:ind w:firstLine="720" w:end="0"/>
        <w:jc w:val="both"/>
        <w:rPr/>
      </w:pPr>
      <w:r>
        <w:rPr/>
        <w:t>(b)</w:t>
        <w:tab/>
      </w:r>
      <w:r>
        <w:rPr>
          <w:u w:val="single"/>
        </w:rPr>
        <w:t>ERISA</w:t>
      </w:r>
      <w:r>
        <w:rPr/>
        <w:t xml:space="preserve">. (i) None of the Company Benefit Plans is a “multi-employer pension plan,” as defined in Section 3(37) of ERISA, or a “multiple employer pension plan,” as defined in Section 4063 of ERISA, (ii) no Acquired Company has any liability under Title IV of ERISA, (iii) each Company Benefit Plan is, and has been administered, in material compliance with all applicable Laws, (iv) no Company Benefit Plan has an “accumulated funding deficiency” (within the meaning of Section 302 of ERISA and Section 412 of the Code), whether or not waived, and (v) all contributions or payments required to have been made with respect to any Company Employee </w:t>
      </w:r>
      <w:r>
        <w:rPr>
          <w:b/>
          <w:bCs/>
          <w:u w:val="double"/>
        </w:rPr>
        <w:t>Benefit</w:t>
      </w:r>
      <w:r>
        <w:rPr/>
        <w:t xml:space="preserve"> Plan have been made.  </w:t>
      </w:r>
    </w:p>
    <w:p>
      <w:pPr>
        <w:pStyle w:val="Normal"/>
        <w:jc w:val="both"/>
        <w:rPr/>
      </w:pPr>
      <w:r>
        <w:rPr/>
      </w:r>
    </w:p>
    <w:p>
      <w:pPr>
        <w:pStyle w:val="BodyText2"/>
        <w:rPr/>
      </w:pPr>
      <w:r>
        <w:rPr/>
        <w:t>[PM Comment:  Cynthia Barrow should review this representation and comment.  I believe that the three tax qualified pension plans sponsored by Enron Corp. are multiple employer pension plans and should be noted as such on Schedule 4.14.  Cynthia can confirm this and advise whether there exists any accumulated funding deficiency.  This should not matter, because I anticipate that in the Employee Matters Agreement, Enron Corp. will agree to assume all obligations of HPL and Newco in the Enron Corp. sponsored benefit plans at Closing.]</w:t>
      </w:r>
    </w:p>
    <w:p>
      <w:pPr>
        <w:pStyle w:val="Normal"/>
        <w:jc w:val="both"/>
        <w:rPr/>
      </w:pPr>
      <w:r>
        <w:rPr/>
      </w:r>
    </w:p>
    <w:p>
      <w:pPr>
        <w:pStyle w:val="Normal"/>
        <w:jc w:val="both"/>
        <w:rPr/>
      </w:pPr>
      <w:r>
        <w:rPr/>
      </w:r>
    </w:p>
    <w:p>
      <w:pPr>
        <w:pStyle w:val="Normal"/>
        <w:ind w:firstLine="720" w:end="0"/>
        <w:jc w:val="both"/>
        <w:rPr/>
      </w:pPr>
      <w:r>
        <w:rPr/>
        <w:t>(c)</w:t>
        <w:tab/>
      </w:r>
      <w:r>
        <w:rPr>
          <w:u w:val="single"/>
        </w:rPr>
        <w:t>Retiree Health Benefits</w:t>
      </w:r>
      <w:r>
        <w:rPr/>
        <w:t xml:space="preserve">. No Company Benefit Plan provides medical </w:t>
      </w:r>
      <w:r>
        <w:rPr>
          <w:strike/>
        </w:rPr>
        <w:t>or</w:t>
      </w:r>
      <w:r>
        <w:rPr>
          <w:b/>
          <w:bCs/>
          <w:u w:val="double"/>
        </w:rPr>
        <w:t>,</w:t>
      </w:r>
      <w:r>
        <w:rPr/>
        <w:t xml:space="preserve"> health</w:t>
      </w:r>
      <w:r>
        <w:rPr>
          <w:b/>
          <w:bCs/>
          <w:u w:val="double"/>
        </w:rPr>
        <w:t>, retirement or life</w:t>
      </w:r>
      <w:r>
        <w:rPr/>
        <w:t xml:space="preserve"> benefits (whether or not insured) after an employee’s termination of employment, other than continuation coverage required pursuant to Section 4980B of the Code and Part 6 of Title I of ERISA, and the regulation thereunder, and any other applicable Law.</w:t>
      </w:r>
    </w:p>
    <w:p>
      <w:pPr>
        <w:pStyle w:val="Normal"/>
        <w:jc w:val="both"/>
        <w:rPr/>
      </w:pPr>
      <w:r>
        <w:rPr/>
      </w:r>
    </w:p>
    <w:p>
      <w:pPr>
        <w:pStyle w:val="BodyText"/>
        <w:rPr>
          <w:rFonts w:ascii="Arial" w:hAnsi="Arial" w:cs="Arial"/>
          <w:b/>
          <w:bCs/>
          <w:color w:val="000080"/>
          <w:sz w:val="20"/>
        </w:rPr>
      </w:pPr>
      <w:r>
        <w:rPr>
          <w:rFonts w:cs="Arial" w:ascii="Arial" w:hAnsi="Arial"/>
          <w:b/>
          <w:bCs/>
          <w:color w:val="000080"/>
          <w:sz w:val="20"/>
        </w:rPr>
        <w:t>[PM Comment:  Enron Corp. sponsors a retiree medical plan.  This will have to be noted on Schedule 4.14.  Cynthia Barrow can advise the correct name of such plan.  This should not matter, because I anticipate that in the Employee Matters Agreement, Enron Corp. will agree to assume all obligations of HPL and Newco in the Enron Corp. sponsored benefit plans at Closing.]</w:t>
      </w:r>
    </w:p>
    <w:p>
      <w:pPr>
        <w:pStyle w:val="Normal"/>
        <w:jc w:val="both"/>
        <w:rPr>
          <w:rFonts w:ascii="Arial" w:hAnsi="Arial" w:cs="Arial"/>
          <w:b/>
          <w:bCs/>
          <w:color w:val="000080"/>
          <w:sz w:val="20"/>
        </w:rPr>
      </w:pPr>
      <w:r>
        <w:rPr>
          <w:rFonts w:cs="Arial" w:ascii="Arial" w:hAnsi="Arial"/>
          <w:b/>
          <w:bCs/>
          <w:color w:val="000080"/>
          <w:sz w:val="20"/>
        </w:rPr>
      </w:r>
    </w:p>
    <w:p>
      <w:pPr>
        <w:pStyle w:val="Normal"/>
        <w:jc w:val="both"/>
        <w:rPr/>
      </w:pPr>
      <w:r>
        <w:rPr/>
      </w:r>
    </w:p>
    <w:p>
      <w:pPr>
        <w:pStyle w:val="Normal"/>
        <w:ind w:firstLine="720" w:end="0"/>
        <w:jc w:val="both"/>
        <w:rPr/>
      </w:pPr>
      <w:r>
        <w:rPr/>
        <w:t>(d)</w:t>
        <w:tab/>
      </w:r>
      <w:r>
        <w:rPr>
          <w:u w:val="single"/>
        </w:rPr>
        <w:t>Severance or Accelerated Vesting</w:t>
      </w:r>
      <w:r>
        <w:rPr/>
        <w:t>. The consummation of the transactions contemplated by this Agreement will not (i) entitle any current or former employee of any Acquired Company to severance pay under any Company Benefit Plan or (ii) accelerate the time of payment or vesting, or increase the amount of any benefit, award or compensation due any such employee under any Company Benefit Plan.</w:t>
      </w:r>
    </w:p>
    <w:p>
      <w:pPr>
        <w:pStyle w:val="Normal"/>
        <w:jc w:val="both"/>
        <w:rPr/>
      </w:pPr>
      <w:r>
        <w:rPr/>
      </w:r>
    </w:p>
    <w:p>
      <w:pPr>
        <w:pStyle w:val="BodyText2"/>
        <w:rPr/>
      </w:pPr>
      <w:r>
        <w:rPr/>
        <w:t>[PM Comment:  Have Mary Joyce and Cynthia Barrow review and comment on this paragraph (d).  A stock divestiture, as distinguished from an asset divestiture, does not involve termination of employment of the employees of the divested companies.  However, someone needs to review award agreements, employment agreements and compensatory agreements to determine whether there are any special provisions or arrangements regarding a divestiture or change of control.]</w:t>
      </w:r>
    </w:p>
    <w:p>
      <w:pPr>
        <w:pStyle w:val="Normal"/>
        <w:jc w:val="both"/>
        <w:rPr/>
      </w:pPr>
      <w:r>
        <w:rPr/>
      </w:r>
    </w:p>
    <w:p>
      <w:pPr>
        <w:pStyle w:val="Normal"/>
        <w:jc w:val="both"/>
        <w:rPr/>
      </w:pPr>
      <w:r>
        <w:rPr/>
      </w:r>
    </w:p>
    <w:p>
      <w:pPr>
        <w:pStyle w:val="Normal"/>
        <w:ind w:firstLine="720" w:end="0"/>
        <w:jc w:val="both"/>
        <w:rPr/>
      </w:pPr>
      <w:r>
        <w:rPr>
          <w:strike/>
        </w:rPr>
        <w:t>(f)</w:t>
      </w:r>
      <w:r>
        <w:rPr>
          <w:b/>
          <w:bCs/>
          <w:u w:val="double"/>
        </w:rPr>
        <w:t>(e)</w:t>
      </w:r>
      <w:r>
        <w:rPr/>
        <w:tab/>
      </w:r>
      <w:r>
        <w:rPr>
          <w:u w:val="single"/>
        </w:rPr>
        <w:t>Claims</w:t>
      </w:r>
      <w:r>
        <w:rPr/>
        <w:t xml:space="preserve">. There are no pending, or to the Knowledge of Seller, threatened or anticipated Proceedings against any of the Company </w:t>
      </w:r>
      <w:r>
        <w:rPr>
          <w:strike/>
        </w:rPr>
        <w:t>Employee</w:t>
      </w:r>
      <w:r>
        <w:rPr/>
        <w:t xml:space="preserve"> </w:t>
      </w:r>
      <w:r>
        <w:rPr>
          <w:b/>
          <w:bCs/>
          <w:u w:val="double"/>
        </w:rPr>
        <w:t>Benefit</w:t>
      </w:r>
      <w:r>
        <w:rPr/>
        <w:t xml:space="preserve"> Plans or any of the Acquired Companies involving any Company Employee Plan (other than claims for benefits).</w:t>
      </w:r>
    </w:p>
    <w:p>
      <w:pPr>
        <w:pStyle w:val="Normal"/>
        <w:jc w:val="both"/>
        <w:rPr/>
      </w:pPr>
      <w:r>
        <w:rPr/>
      </w:r>
    </w:p>
    <w:p>
      <w:pPr>
        <w:pStyle w:val="BodyText2"/>
        <w:rPr/>
      </w:pPr>
      <w:r>
        <w:rPr/>
        <w:t>[PM Comment:  Either Mary Joyce or Cynthia Barrow should know this or be able to find out whether this representation is accurate.]</w:t>
      </w:r>
    </w:p>
    <w:p>
      <w:pPr>
        <w:pStyle w:val="Normal"/>
        <w:jc w:val="both"/>
        <w:rPr/>
      </w:pPr>
      <w:r>
        <w:rPr/>
      </w:r>
    </w:p>
    <w:p>
      <w:pPr>
        <w:pStyle w:val="Normal"/>
        <w:jc w:val="both"/>
        <w:rPr/>
      </w:pPr>
      <w:r>
        <w:rPr/>
      </w:r>
    </w:p>
    <w:p>
      <w:pPr>
        <w:pStyle w:val="Normal"/>
        <w:ind w:firstLine="720" w:end="0"/>
        <w:jc w:val="both"/>
        <w:rPr/>
      </w:pPr>
      <w:r>
        <w:rPr>
          <w:strike/>
        </w:rPr>
        <w:t>(g)</w:t>
      </w:r>
      <w:r>
        <w:rPr>
          <w:b/>
          <w:bCs/>
          <w:u w:val="double"/>
        </w:rPr>
        <w:t>(f)</w:t>
      </w:r>
      <w:r>
        <w:rPr/>
        <w:tab/>
      </w:r>
      <w:r>
        <w:rPr>
          <w:u w:val="single"/>
        </w:rPr>
        <w:t>No Seller Company Plan Liability</w:t>
      </w:r>
      <w:r>
        <w:rPr/>
        <w:t>.  The Acquired Companies will not have any liability under any Benefit Plan maintained by the Seller after the Closing except for liabilities that have been properly accrued for periods through the Closing and properly recorded on the Balance Sheet or as assessed pursuant to the terms and provisions of the Employee Matters Agreement.</w:t>
      </w:r>
    </w:p>
    <w:p>
      <w:pPr>
        <w:pStyle w:val="Normal"/>
        <w:ind w:firstLine="720" w:end="0"/>
        <w:jc w:val="both"/>
        <w:rPr/>
      </w:pPr>
      <w:r>
        <w:rPr/>
      </w:r>
    </w:p>
    <w:p>
      <w:pPr>
        <w:pStyle w:val="Normal"/>
        <w:ind w:firstLine="720" w:end="0"/>
        <w:jc w:val="both"/>
        <w:rPr/>
      </w:pPr>
      <w:r>
        <w:rPr>
          <w:strike/>
        </w:rPr>
        <w:t>(h)</w:t>
      </w:r>
      <w:r>
        <w:rPr>
          <w:b/>
          <w:bCs/>
          <w:u w:val="double"/>
        </w:rPr>
        <w:t>(g)</w:t>
      </w:r>
      <w:r>
        <w:rPr/>
        <w:tab/>
      </w:r>
      <w:r>
        <w:rPr>
          <w:u w:val="single"/>
        </w:rPr>
        <w:t>Labor Matters</w:t>
      </w:r>
      <w:r>
        <w:rPr/>
        <w:t xml:space="preserve">. </w:t>
      </w:r>
      <w:r>
        <w:rPr>
          <w:strike/>
        </w:rPr>
        <w:t>To Seller’s Knowledge</w:t>
      </w:r>
      <w:r>
        <w:rPr/>
        <w:t xml:space="preserve"> </w:t>
      </w:r>
      <w:r>
        <w:rPr>
          <w:b/>
          <w:bCs/>
          <w:u w:val="double"/>
        </w:rPr>
        <w:t>Except as set forth on Schedule 4.14(g)</w:t>
      </w:r>
      <w:r>
        <w:rPr/>
        <w:t xml:space="preserve">, the Acquired Companies are not (i) a party to, or bound by, any collective bargaining agreement with a labor union or labor organization, or (ii) </w:t>
      </w:r>
      <w:r>
        <w:rPr>
          <w:b/>
          <w:bCs/>
          <w:u w:val="double"/>
        </w:rPr>
        <w:t>to the Knowledge of Seller,</w:t>
      </w:r>
      <w:r>
        <w:rPr/>
        <w:t xml:space="preserve"> the subject of any formal proceeding asserting that any Acquired Company has committed an unfair labor practice or is seeking to compel it to bargain with any labor organization as to wages or conditions of employment.</w:t>
      </w:r>
    </w:p>
    <w:p>
      <w:pPr>
        <w:pStyle w:val="Normal"/>
        <w:jc w:val="both"/>
        <w:rPr/>
      </w:pPr>
      <w:r>
        <w:rPr/>
      </w:r>
    </w:p>
    <w:p>
      <w:pPr>
        <w:pStyle w:val="BodyText2"/>
        <w:rPr/>
      </w:pPr>
      <w:r>
        <w:rPr/>
        <w:t>[PM Comment:  The excepting phrase in (g) is redundant; it is already stated in the first sentence of this Section 4.14.]</w:t>
      </w:r>
    </w:p>
    <w:p>
      <w:pPr>
        <w:pStyle w:val="Normal"/>
        <w:jc w:val="both"/>
        <w:rPr/>
      </w:pPr>
      <w:r>
        <w:rPr/>
      </w:r>
    </w:p>
    <w:p>
      <w:pPr>
        <w:pStyle w:val="Normal"/>
        <w:jc w:val="both"/>
        <w:rPr/>
      </w:pPr>
      <w:r>
        <w:rPr/>
      </w:r>
    </w:p>
    <w:p>
      <w:pPr>
        <w:pStyle w:val="Normal"/>
        <w:ind w:firstLine="720" w:end="0"/>
        <w:jc w:val="both"/>
        <w:rPr/>
      </w:pPr>
      <w:r>
        <w:rPr>
          <w:b/>
          <w:bCs/>
          <w:u w:val="double"/>
        </w:rPr>
        <w:t>(h)</w:t>
      </w:r>
      <w:r>
        <w:rPr/>
        <w:tab/>
      </w:r>
      <w:r>
        <w:rPr>
          <w:b/>
          <w:bCs/>
          <w:u w:val="double"/>
        </w:rPr>
        <w:t>Prohibited Transactions.  The Acquired Companies and their respective directors, employees and representatives have not engaged in any “prohibited transaction” as defined in ERISA Section 406 which has not been exempted under ERISA Section 408.</w:t>
      </w:r>
    </w:p>
    <w:p>
      <w:pPr>
        <w:pStyle w:val="Normal"/>
        <w:ind w:firstLine="720" w:end="0"/>
        <w:jc w:val="both"/>
        <w:rPr>
          <w:b/>
          <w:bCs/>
          <w:u w:val="double"/>
        </w:rPr>
      </w:pPr>
      <w:r>
        <w:rPr>
          <w:b/>
          <w:bCs/>
          <w:u w:val="double"/>
        </w:rPr>
      </w:r>
    </w:p>
    <w:p>
      <w:pPr>
        <w:pStyle w:val="Normal"/>
        <w:ind w:firstLine="720" w:end="0"/>
        <w:jc w:val="both"/>
        <w:rPr/>
      </w:pPr>
      <w:r>
        <w:rPr>
          <w:b/>
          <w:bCs/>
          <w:u w:val="double"/>
        </w:rPr>
        <w:t>(i)</w:t>
      </w:r>
      <w:r>
        <w:rPr/>
        <w:tab/>
      </w:r>
      <w:r>
        <w:rPr>
          <w:b/>
          <w:bCs/>
          <w:u w:val="double"/>
        </w:rPr>
        <w:t>No Continuing Obligation.  The Buyer has no obligation to continue any Company Benefit Plan and may in its sole discretion, terminate, modify or discontinue any Company Benefit Plan, in whole or in part.</w:t>
      </w:r>
    </w:p>
    <w:p>
      <w:pPr>
        <w:pStyle w:val="Normal"/>
        <w:ind w:firstLine="720" w:end="0"/>
        <w:jc w:val="both"/>
        <w:rPr/>
      </w:pPr>
      <w:r>
        <w:rPr/>
      </w:r>
    </w:p>
    <w:p>
      <w:pPr>
        <w:pStyle w:val="BodyText3"/>
        <w:rPr/>
      </w:pPr>
      <w:r>
        <w:rPr/>
        <w:t>[PM Comment:  To the extent that there are Company Benefit Plans in addition to those sponsored by Enron Corp. which Seller will require Buyer to maintain for a certain period after Closing, the phrase, “Subject to the provisions of the Employee Matters Agreement,” should be inserted at the beginning of the sentence in (i).]</w:t>
      </w:r>
    </w:p>
    <w:p>
      <w:pPr>
        <w:pStyle w:val="Normal"/>
        <w:rPr/>
      </w:pPr>
      <w:r>
        <w:rPr/>
      </w:r>
    </w:p>
    <w:p>
      <w:pPr>
        <w:pStyle w:val="Normal"/>
        <w:jc w:val="both"/>
        <w:rPr/>
      </w:pPr>
      <w:r>
        <w:rPr/>
      </w:r>
    </w:p>
    <w:p>
      <w:pPr>
        <w:pStyle w:val="Normal"/>
        <w:keepNext w:val="true"/>
        <w:ind w:firstLine="720" w:end="0"/>
        <w:jc w:val="both"/>
        <w:rPr>
          <w:i/>
          <w:i/>
          <w:iCs/>
        </w:rPr>
      </w:pPr>
      <w:r>
        <w:rPr/>
        <w:t xml:space="preserve">I will be pleased to receive, review and comment on the draft of the Employee Matters Agreement when it is available.  </w:t>
      </w:r>
    </w:p>
    <w:p>
      <w:pPr>
        <w:pStyle w:val="Normal"/>
        <w:keepNext w:val="true"/>
        <w:jc w:val="both"/>
        <w:rPr>
          <w:i/>
          <w:i/>
          <w:iCs/>
        </w:rPr>
      </w:pPr>
      <w:r>
        <w:rPr>
          <w:i/>
          <w:iCs/>
        </w:rPr>
        <w:t xml:space="preserve"> </w:t>
      </w:r>
    </w:p>
    <w:p>
      <w:pPr>
        <w:pStyle w:val="Normal"/>
        <w:rPr/>
      </w:pPr>
      <w:r>
        <w:rPr/>
      </w:r>
    </w:p>
    <w:p>
      <w:pPr>
        <w:pStyle w:val="Normal"/>
        <w:rPr/>
      </w:pPr>
      <w:r>
        <w:rPr/>
        <w:t>Pat</w:t>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i/>
      <w:i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b/>
      <w:bCs/>
      <w:color w:val="000080"/>
      <w:sz w:val="20"/>
    </w:rPr>
  </w:style>
  <w:style w:type="paragraph" w:styleId="BodyText3">
    <w:name w:val="Body Text 3"/>
    <w:basedOn w:val="Normal"/>
    <w:qFormat/>
    <w:pPr/>
    <w:rPr>
      <w:rFonts w:ascii="Arial" w:hAnsi="Arial" w:cs="Arial"/>
      <w:b/>
      <w:bCs/>
      <w:color w:val="000080"/>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2000-10-18T11:43:00Z</dcterms:created>
  <dc:creator>Mackin</dc:creator>
  <dc:description/>
  <dc:language>en-CA</dc:language>
  <cp:lastModifiedBy>Mackin</cp:lastModifiedBy>
  <dcterms:modified xsi:type="dcterms:W3CDTF">2000-10-18T15:01:00Z</dcterms:modified>
  <cp:revision>4</cp:revision>
  <dc:subject/>
  <dc:title>To:  Michelle Cash, Anne Koehler, Cynthia Barrow and Mary Joyce</dc:title>
</cp:coreProperties>
</file>