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center" w:pos="4680" w:leader="none"/>
          <w:tab w:val="right" w:pos="9360" w:leader="none"/>
        </w:tabs>
        <w:suppressAutoHyphens w:val="true"/>
        <w:jc w:val="center"/>
        <w:rPr/>
      </w:pPr>
      <w:r>
        <w:rPr>
          <w:b/>
        </w:rPr>
        <w:tab/>
        <w:t>Triangular Set-off Combinations</w:t>
      </w:r>
      <w:r>
        <w:rPr>
          <w:rStyle w:val="EndnoteCharacters"/>
          <w:rStyle w:val="EndnoteReference"/>
          <w:b/>
        </w:rPr>
        <w:endnoteReference w:id="2"/>
      </w:r>
      <w:r>
        <w:rPr/>
        <w:tab/>
        <w:t>Enron/Set-off</w:t>
      </w:r>
    </w:p>
    <w:p>
      <w:pPr>
        <w:pStyle w:val="Normal"/>
        <w:suppressAutoHyphens w:val="true"/>
        <w:jc w:val="end"/>
        <w:rPr/>
      </w:pPr>
      <w:r>
        <w:rPr/>
        <w:t>August 15, 2001</w:t>
      </w:r>
    </w:p>
    <w:p>
      <w:pPr>
        <w:pStyle w:val="Normal"/>
        <w:suppressAutoHyphens w:val="true"/>
        <w:rPr/>
      </w:pPr>
      <w:r>
        <w:rPr/>
      </w:r>
    </w:p>
    <w:p>
      <w:pPr>
        <w:pStyle w:val="Normal"/>
        <w:tabs>
          <w:tab w:val="clear" w:pos="720"/>
          <w:tab w:val="left" w:pos="1530" w:leader="none"/>
          <w:tab w:val="left" w:pos="3240" w:leader="none"/>
          <w:tab w:val="left" w:pos="4230" w:leader="none"/>
          <w:tab w:val="left" w:pos="4770" w:leader="none"/>
        </w:tabs>
        <w:suppressAutoHyphens w:val="true"/>
        <w:rPr/>
      </w:pPr>
      <w:r>
        <w:rPr/>
        <w:t xml:space="preserve">  </w:t>
      </w:r>
      <w:r>
        <w:rPr/>
        <w:t>XA</w:t>
        <w:tab/>
      </w:r>
    </w:p>
    <w:p>
      <w:pPr>
        <w:pStyle w:val="Normal"/>
        <w:tabs>
          <w:tab w:val="clear" w:pos="720"/>
          <w:tab w:val="left" w:pos="1530" w:leader="none"/>
          <w:tab w:val="left" w:pos="2790" w:leader="none"/>
          <w:tab w:val="left" w:pos="3870" w:leader="none"/>
          <w:tab w:val="left" w:pos="4410" w:leader="none"/>
        </w:tabs>
        <w:suppressAutoHyphens w:val="true"/>
        <w:rPr>
          <w:sz w:val="23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182880</wp:posOffset>
                </wp:positionH>
                <wp:positionV relativeFrom="paragraph">
                  <wp:posOffset>30480</wp:posOffset>
                </wp:positionV>
                <wp:extent cx="274320" cy="457200"/>
                <wp:effectExtent l="4445" t="2540" r="4445" b="254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4572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.4pt,2.4pt" to="35.95pt,38.3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182880</wp:posOffset>
                </wp:positionH>
                <wp:positionV relativeFrom="paragraph">
                  <wp:posOffset>30480</wp:posOffset>
                </wp:positionV>
                <wp:extent cx="0" cy="457200"/>
                <wp:effectExtent l="5080" t="0" r="508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.4pt,2.4pt" to="14.4pt,38.3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/>
        <w:tab/>
        <w:tab/>
      </w:r>
      <w:r>
        <w:rPr>
          <w:b/>
        </w:rPr>
        <w:t>Legend:</w:t>
      </w:r>
      <w:r>
        <w:rPr/>
        <w:tab/>
        <w:t>X</w:t>
        <w:tab/>
        <w:t>non-defaulting party</w:t>
      </w:r>
      <w:r>
        <w:rPr>
          <w:lang w:val="en-CA"/>
        </w:rPr>
        <w:t xml:space="preserve"> </w:t>
      </w:r>
    </w:p>
    <w:p>
      <w:pPr>
        <w:pStyle w:val="Normal"/>
        <w:tabs>
          <w:tab w:val="clear" w:pos="720"/>
          <w:tab w:val="left" w:pos="1530" w:leader="none"/>
          <w:tab w:val="left" w:pos="2790" w:leader="none"/>
          <w:tab w:val="left" w:pos="3870" w:leader="none"/>
          <w:tab w:val="left" w:pos="4410" w:leader="none"/>
        </w:tabs>
        <w:suppressAutoHyphens w:val="true"/>
        <w:rPr/>
      </w:pPr>
      <w:r>
        <w:rPr/>
        <w:tab/>
        <w:tab/>
        <w:tab/>
        <w:t>XA</w:t>
        <w:tab/>
        <w:t>affiliate of X</w:t>
      </w:r>
    </w:p>
    <w:p>
      <w:pPr>
        <w:pStyle w:val="Normal"/>
        <w:tabs>
          <w:tab w:val="clear" w:pos="720"/>
          <w:tab w:val="left" w:pos="1530" w:leader="none"/>
          <w:tab w:val="left" w:pos="2790" w:leader="none"/>
          <w:tab w:val="left" w:pos="3870" w:leader="none"/>
          <w:tab w:val="left" w:pos="4410" w:leader="none"/>
          <w:tab w:val="left" w:pos="5850" w:leader="none"/>
        </w:tabs>
        <w:suppressAutoHyphens w:val="true"/>
        <w:jc w:val="start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182880</wp:posOffset>
                </wp:positionH>
                <wp:positionV relativeFrom="paragraph">
                  <wp:posOffset>137160</wp:posOffset>
                </wp:positionV>
                <wp:extent cx="274320" cy="0"/>
                <wp:effectExtent l="0" t="5080" r="0" b="508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.4pt,10.8pt" to="35.95pt,10.8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/>
        <w:tab/>
        <w:tab/>
        <w:tab/>
        <w:t>Y</w:t>
        <w:tab/>
        <w:t>defaulting counterparty</w:t>
        <w:tab/>
      </w:r>
    </w:p>
    <w:p>
      <w:pPr>
        <w:pStyle w:val="Normal"/>
        <w:tabs>
          <w:tab w:val="clear" w:pos="720"/>
          <w:tab w:val="left" w:pos="2790" w:leader="none"/>
          <w:tab w:val="left" w:pos="3870" w:leader="none"/>
          <w:tab w:val="left" w:pos="4410" w:leader="none"/>
          <w:tab w:val="left" w:pos="5850" w:leader="none"/>
        </w:tabs>
        <w:suppressAutoHyphens w:val="true"/>
        <w:rPr/>
      </w:pPr>
      <w:r>
        <w:rPr/>
        <w:t xml:space="preserve">   </w:t>
      </w:r>
      <w:r>
        <w:rPr/>
        <w:t>X        Y</w:t>
        <w:tab/>
        <w:tab/>
        <w:tab/>
        <w:t xml:space="preserve"> </w:t>
      </w:r>
    </w:p>
    <w:p>
      <w:pPr>
        <w:pStyle w:val="Normal"/>
        <w:suppressAutoHyphens w:val="true"/>
        <w:rPr/>
      </w:pPr>
      <w:r>
        <w:rPr/>
      </w:r>
    </w:p>
    <w:p>
      <w:pPr>
        <w:pStyle w:val="Normal"/>
        <w:suppressAutoHyphens w:val="true"/>
        <w:rPr/>
      </w:pPr>
      <w:r>
        <w:rPr/>
      </w:r>
    </w:p>
    <w:tbl>
      <w:tblPr>
        <w:tblW w:w="95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638"/>
        <w:gridCol w:w="2160"/>
        <w:gridCol w:w="5760"/>
      </w:tblGrid>
      <w:tr>
        <w:trPr/>
        <w:tc>
          <w:tcPr>
            <w:tcW w:w="1638" w:type="dxa"/>
            <w:tcBorders/>
          </w:tcPr>
          <w:p>
            <w:pPr>
              <w:pStyle w:val="Normal"/>
              <w:suppressAutoHyphens w:val="true"/>
              <w:spacing w:before="0" w:after="8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Claim</w:t>
            </w:r>
          </w:p>
        </w:tc>
        <w:tc>
          <w:tcPr>
            <w:tcW w:w="2160" w:type="dxa"/>
            <w:tcBorders/>
          </w:tcPr>
          <w:p>
            <w:pPr>
              <w:pStyle w:val="Normal"/>
              <w:suppressAutoHyphens w:val="true"/>
              <w:spacing w:before="0" w:after="8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Cross-Claim</w:t>
            </w:r>
          </w:p>
        </w:tc>
        <w:tc>
          <w:tcPr>
            <w:tcW w:w="5760" w:type="dxa"/>
            <w:tcBorders/>
          </w:tcPr>
          <w:p>
            <w:pPr>
              <w:pStyle w:val="Normal"/>
              <w:suppressAutoHyphens w:val="true"/>
              <w:spacing w:before="0" w:after="80"/>
              <w:ind w:start="1242" w:end="0"/>
              <w:jc w:val="start"/>
              <w:rPr>
                <w:b/>
                <w:u w:val="single"/>
              </w:rPr>
            </w:pPr>
            <w:r>
              <w:rPr>
                <w:b/>
                <w:u w:val="single"/>
              </w:rPr>
              <w:t>For Mutuality:</w:t>
            </w:r>
          </w:p>
        </w:tc>
      </w:tr>
      <w:tr>
        <w:trPr/>
        <w:tc>
          <w:tcPr>
            <w:tcW w:w="1638" w:type="dxa"/>
            <w:tcBorders/>
          </w:tcPr>
          <w:p>
            <w:pPr>
              <w:pStyle w:val="Normal"/>
              <w:suppressAutoHyphens w:val="true"/>
              <w:snapToGrid w:val="false"/>
              <w:spacing w:before="0" w:after="4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</w:p>
          <w:p>
            <w:pPr>
              <w:pStyle w:val="Normal"/>
              <w:suppressAutoHyphens w:val="true"/>
              <w:spacing w:before="0" w:after="40"/>
              <w:jc w:val="center"/>
              <w:rPr/>
            </w:pPr>
            <w:r>
              <w:rPr/>
              <w:t>X owes Y</w:t>
            </w:r>
          </w:p>
        </w:tc>
        <w:tc>
          <w:tcPr>
            <w:tcW w:w="2160" w:type="dxa"/>
            <w:tcBorders/>
          </w:tcPr>
          <w:p>
            <w:pPr>
              <w:pStyle w:val="Normal"/>
              <w:suppressAutoHyphens w:val="true"/>
              <w:snapToGrid w:val="false"/>
              <w:spacing w:before="0" w:after="40"/>
              <w:ind w:start="342" w:end="0"/>
              <w:jc w:val="start"/>
              <w:rPr/>
            </w:pPr>
            <w:r>
              <w:rPr/>
            </w:r>
          </w:p>
          <w:p>
            <w:pPr>
              <w:pStyle w:val="Normal"/>
              <w:suppressAutoHyphens w:val="true"/>
              <w:spacing w:before="0" w:after="40"/>
              <w:ind w:start="342" w:end="0"/>
              <w:jc w:val="start"/>
              <w:rPr/>
            </w:pPr>
            <w:r>
              <w:rPr/>
              <w:t>Y owes XA</w:t>
            </w:r>
          </w:p>
        </w:tc>
        <w:tc>
          <w:tcPr>
            <w:tcW w:w="5760" w:type="dxa"/>
            <w:tcBorders/>
          </w:tcPr>
          <w:p>
            <w:pPr>
              <w:pStyle w:val="Normal"/>
              <w:suppressAutoHyphens w:val="true"/>
              <w:snapToGrid w:val="false"/>
              <w:spacing w:before="0" w:after="40"/>
              <w:jc w:val="start"/>
              <w:rPr/>
            </w:pPr>
            <w:r>
              <w:rPr/>
            </w:r>
          </w:p>
          <w:p>
            <w:pPr>
              <w:pStyle w:val="Normal"/>
              <w:suppressAutoHyphens w:val="true"/>
              <w:spacing w:before="0" w:after="40"/>
              <w:jc w:val="start"/>
              <w:rPr/>
            </w:pPr>
            <w:r>
              <w:rPr/>
              <w:t>Aggregate Liability Clause (“ALC”): Y shall be liable to each Group X Entity for the aggregate of Y’s Obligations to all Group X Entities</w:t>
            </w:r>
            <w:r>
              <w:rPr>
                <w:rStyle w:val="EndnoteCharacters"/>
                <w:rStyle w:val="EndnoteReference"/>
              </w:rPr>
              <w:endnoteReference w:id="3"/>
            </w:r>
          </w:p>
        </w:tc>
      </w:tr>
      <w:tr>
        <w:trPr/>
        <w:tc>
          <w:tcPr>
            <w:tcW w:w="1638" w:type="dxa"/>
            <w:tcBorders/>
          </w:tcPr>
          <w:p>
            <w:pPr>
              <w:pStyle w:val="Normal"/>
              <w:suppressAutoHyphens w:val="true"/>
              <w:snapToGrid w:val="false"/>
              <w:spacing w:before="0" w:after="40"/>
              <w:jc w:val="center"/>
              <w:rPr/>
            </w:pPr>
            <w:r>
              <w:rPr/>
            </w:r>
          </w:p>
        </w:tc>
        <w:tc>
          <w:tcPr>
            <w:tcW w:w="2160" w:type="dxa"/>
            <w:tcBorders/>
          </w:tcPr>
          <w:p>
            <w:pPr>
              <w:pStyle w:val="Normal"/>
              <w:suppressAutoHyphens w:val="true"/>
              <w:spacing w:before="0" w:after="40"/>
              <w:ind w:start="342" w:end="0"/>
              <w:jc w:val="start"/>
              <w:rPr/>
            </w:pPr>
            <w:r>
              <w:rPr/>
              <w:t>Y owes X</w:t>
            </w:r>
          </w:p>
        </w:tc>
        <w:tc>
          <w:tcPr>
            <w:tcW w:w="5760" w:type="dxa"/>
            <w:tcBorders/>
          </w:tcPr>
          <w:p>
            <w:pPr>
              <w:pStyle w:val="Normal"/>
              <w:suppressAutoHyphens w:val="true"/>
              <w:spacing w:before="0" w:after="40"/>
              <w:jc w:val="start"/>
              <w:rPr/>
            </w:pPr>
            <w:r>
              <w:rPr/>
              <w:t>Mutuality already exists</w:t>
            </w:r>
          </w:p>
        </w:tc>
      </w:tr>
      <w:tr>
        <w:trPr/>
        <w:tc>
          <w:tcPr>
            <w:tcW w:w="1638" w:type="dxa"/>
            <w:tcBorders/>
          </w:tcPr>
          <w:p>
            <w:pPr>
              <w:pStyle w:val="Normal"/>
              <w:suppressAutoHyphens w:val="true"/>
              <w:snapToGrid w:val="false"/>
              <w:spacing w:before="0" w:after="40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spacing w:before="0" w:after="40"/>
              <w:jc w:val="center"/>
              <w:rPr/>
            </w:pPr>
            <w:r>
              <w:rPr/>
              <w:t>XA owes Y</w:t>
            </w:r>
          </w:p>
        </w:tc>
        <w:tc>
          <w:tcPr>
            <w:tcW w:w="2160" w:type="dxa"/>
            <w:tcBorders/>
          </w:tcPr>
          <w:p>
            <w:pPr>
              <w:pStyle w:val="Normal"/>
              <w:suppressAutoHyphens w:val="true"/>
              <w:snapToGrid w:val="false"/>
              <w:spacing w:before="0" w:after="40"/>
              <w:ind w:start="342" w:end="0"/>
              <w:jc w:val="start"/>
              <w:rPr/>
            </w:pPr>
            <w:r>
              <w:rPr/>
            </w:r>
          </w:p>
          <w:p>
            <w:pPr>
              <w:pStyle w:val="Normal"/>
              <w:suppressAutoHyphens w:val="true"/>
              <w:spacing w:before="0" w:after="40"/>
              <w:ind w:start="342" w:end="0"/>
              <w:jc w:val="start"/>
              <w:rPr/>
            </w:pPr>
            <w:r>
              <w:rPr/>
              <w:t>Y owes XA</w:t>
            </w:r>
          </w:p>
        </w:tc>
        <w:tc>
          <w:tcPr>
            <w:tcW w:w="5760" w:type="dxa"/>
            <w:tcBorders/>
          </w:tcPr>
          <w:p>
            <w:pPr>
              <w:pStyle w:val="Normal"/>
              <w:suppressAutoHyphens w:val="true"/>
              <w:snapToGrid w:val="false"/>
              <w:spacing w:before="0" w:after="40"/>
              <w:jc w:val="start"/>
              <w:rPr/>
            </w:pPr>
            <w:r>
              <w:rPr/>
            </w:r>
          </w:p>
          <w:p>
            <w:pPr>
              <w:pStyle w:val="Normal"/>
              <w:suppressAutoHyphens w:val="true"/>
              <w:spacing w:before="0" w:after="40"/>
              <w:jc w:val="start"/>
              <w:rPr/>
            </w:pPr>
            <w:r>
              <w:rPr/>
              <w:t>Mutuality already exists</w:t>
            </w:r>
          </w:p>
        </w:tc>
      </w:tr>
      <w:tr>
        <w:trPr/>
        <w:tc>
          <w:tcPr>
            <w:tcW w:w="1638" w:type="dxa"/>
            <w:tcBorders/>
          </w:tcPr>
          <w:p>
            <w:pPr>
              <w:pStyle w:val="Normal"/>
              <w:suppressAutoHyphens w:val="true"/>
              <w:snapToGrid w:val="false"/>
              <w:spacing w:before="0" w:after="40"/>
              <w:jc w:val="center"/>
              <w:rPr/>
            </w:pPr>
            <w:r>
              <w:rPr/>
            </w:r>
          </w:p>
        </w:tc>
        <w:tc>
          <w:tcPr>
            <w:tcW w:w="2160" w:type="dxa"/>
            <w:tcBorders/>
          </w:tcPr>
          <w:p>
            <w:pPr>
              <w:pStyle w:val="Normal"/>
              <w:suppressAutoHyphens w:val="true"/>
              <w:spacing w:before="0" w:after="40"/>
              <w:ind w:start="342" w:end="0"/>
              <w:jc w:val="start"/>
              <w:rPr/>
            </w:pPr>
            <w:r>
              <w:rPr/>
              <w:t>Y owes X</w:t>
            </w:r>
          </w:p>
        </w:tc>
        <w:tc>
          <w:tcPr>
            <w:tcW w:w="5760" w:type="dxa"/>
            <w:tcBorders/>
          </w:tcPr>
          <w:p>
            <w:pPr>
              <w:pStyle w:val="Normal"/>
              <w:suppressAutoHyphens w:val="true"/>
              <w:spacing w:before="0" w:after="40"/>
              <w:jc w:val="start"/>
              <w:rPr/>
            </w:pPr>
            <w:r>
              <w:rPr/>
              <w:t>ALC</w:t>
            </w:r>
            <w:r>
              <w:rPr>
                <w:rStyle w:val="EndnoteCharacters"/>
                <w:rStyle w:val="EndnoteReference"/>
              </w:rPr>
              <w:endnoteReference w:id="4"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endnotePr>
        <w:pos w:val="sectEnd"/>
        <w:numFmt w:val="decimal"/>
      </w:endnotePr>
      <w:type w:val="nextPage"/>
      <w:pgSz w:w="12240" w:h="15840"/>
      <w:pgMar w:left="1440" w:right="1440" w:gutter="0" w:header="720" w:top="1440" w:footer="720" w:bottom="1440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endnotes.xml><?xml version="1.0" encoding="utf-8"?>
<w:end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endnote w:id="0" w:type="separator">
    <w:p>
      <w:r>
        <w:separator/>
      </w:r>
    </w:p>
  </w:endnote>
  <w:endnote w:id="1" w:type="continuationSeparator">
    <w:p>
      <w:r>
        <w:continuationSeparator/>
      </w:r>
    </w:p>
  </w:endnote>
  <w:endnote w:id="2">
    <w:p>
      <w:pPr>
        <w:pStyle w:val="EndnoteText"/>
        <w:tabs>
          <w:tab w:val="clear" w:pos="720"/>
          <w:tab w:val="left" w:pos="180" w:leader="none"/>
        </w:tabs>
        <w:ind w:hanging="180" w:start="180" w:end="0"/>
        <w:rPr/>
      </w:pPr>
      <w:r>
        <w:rPr>
          <w:rStyle w:val="EndnoteCharacters"/>
        </w:rPr>
        <w:endnoteRef/>
      </w:r>
      <w:r>
        <w:rPr>
          <w:sz w:val="18"/>
        </w:rPr>
        <w:tab/>
        <w:t>The combinations multiply as the number of  X affiliates increases.</w:t>
      </w:r>
    </w:p>
    <w:p>
      <w:pPr>
        <w:pStyle w:val="EndnoteText"/>
        <w:tabs>
          <w:tab w:val="clear" w:pos="720"/>
          <w:tab w:val="left" w:pos="180" w:leader="none"/>
        </w:tabs>
        <w:ind w:hanging="180" w:start="180" w:end="0"/>
        <w:rPr>
          <w:sz w:val="18"/>
        </w:rPr>
      </w:pPr>
      <w:r>
        <w:rPr>
          <w:sz w:val="18"/>
        </w:rPr>
      </w:r>
    </w:p>
  </w:endnote>
  <w:endnote w:id="3">
    <w:p>
      <w:pPr>
        <w:pStyle w:val="EndnoteText"/>
        <w:rPr/>
      </w:pPr>
      <w:r>
        <w:rPr>
          <w:rStyle w:val="EndnoteCharacters"/>
        </w:rPr>
        <w:endnoteRef/>
      </w:r>
      <w:r>
        <w:rPr>
          <w:sz w:val="18"/>
        </w:rPr>
        <w:t xml:space="preserve"> </w:t>
      </w:r>
      <w:r>
        <w:rPr>
          <w:sz w:val="18"/>
        </w:rPr>
        <w:t>As an alternative, mutuality may be achieved by assignment by XA to X of Y’s debt to XA.  However, mutuality will be lost by interposition of a bankruptcy trustee of Y (the party whose indebtedness is being assigned) before the assignment is completed.</w:t>
      </w:r>
    </w:p>
    <w:p>
      <w:pPr>
        <w:pStyle w:val="EndnoteText"/>
        <w:rPr>
          <w:sz w:val="18"/>
        </w:rPr>
      </w:pPr>
      <w:r>
        <w:rPr>
          <w:sz w:val="18"/>
        </w:rPr>
      </w:r>
    </w:p>
  </w:endnote>
  <w:endnote w:id="4">
    <w:p>
      <w:pPr>
        <w:pStyle w:val="EndnoteText"/>
        <w:rPr/>
      </w:pPr>
      <w:r>
        <w:rPr>
          <w:rStyle w:val="EndnoteCharacters"/>
        </w:rPr>
        <w:endnoteRef/>
      </w:r>
      <w:r>
        <w:rPr>
          <w:sz w:val="18"/>
        </w:rPr>
        <w:t xml:space="preserve"> </w:t>
      </w:r>
      <w:r>
        <w:rPr>
          <w:sz w:val="18"/>
        </w:rPr>
        <w:t>As an alternative (subject to the issue in footnote 2 concerning ineffectiveness of assignments not completed before bankruptcy of the party whose indebtedness is being assigned):  Assignment by X to XA of Y’s debt to X.</w:t>
      </w:r>
    </w:p>
    <w:p>
      <w:pPr>
        <w:pStyle w:val="EndnoteText"/>
        <w:rPr>
          <w:sz w:val="18"/>
        </w:rPr>
      </w:pPr>
      <w:r>
        <w:rPr>
          <w:sz w:val="18"/>
        </w:rPr>
      </w:r>
    </w:p>
  </w:endnote>
</w:endnote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DOCPROPERTY "DOCID"</w:instrText>
    </w:r>
    <w:r>
      <w:rPr/>
      <w:fldChar w:fldCharType="separate"/>
    </w:r>
    <w:r>
      <w:rPr/>
      <w:t>30389234.2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DOCPROPERTY "DOCID"</w:instrText>
    </w:r>
    <w:r>
      <w:rPr/>
      <w:fldChar w:fldCharType="separate"/>
    </w:r>
    <w:r>
      <w:rPr/>
      <w:t>30389234.2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 xml:space="preserve">-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  <w:r>
      <w:rPr/>
      <w:t xml:space="preserve"> -</w:t>
    </w:r>
  </w:p>
  <w:p>
    <w:pPr>
      <w:pStyle w:val="Header"/>
      <w:jc w:val="start"/>
      <w:rPr/>
    </w:pPr>
    <w:r>
      <w:rPr/>
    </w:r>
  </w:p>
  <w:p>
    <w:pPr>
      <w:pStyle w:val="Header"/>
      <w:jc w:val="start"/>
      <w:rPr/>
    </w:pPr>
    <w:r>
      <w:rPr/>
    </w:r>
  </w:p>
  <w:p>
    <w:pPr>
      <w:pStyle w:val="Header"/>
      <w:jc w:val="star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endnotePr>
    <w:pos w:val="sectEnd"/>
    <w:numFmt w:val="decimal"/>
    <w:endnote w:id="0"/>
    <w:endnote w:id="1"/>
  </w:endnotePr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both"/>
    </w:pPr>
    <w:rPr>
      <w:rFonts w:ascii="Times New Roman" w:hAnsi="Times New Roman" w:eastAsia="Times New Roman" w:cs="Times New Roman"/>
      <w:color w:val="auto"/>
      <w:sz w:val="24"/>
      <w:szCs w:val="20"/>
      <w:lang w:val="en-CA" w:eastAsia="zh-CN" w:bidi="hi-IN"/>
    </w:rPr>
  </w:style>
  <w:style w:type="paragraph" w:styleId="Heading1">
    <w:name w:val="heading 1"/>
    <w:basedOn w:val="Normal"/>
    <w:next w:val="BodyText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BodyText"/>
    <w:qFormat/>
    <w:pPr>
      <w:keepNext w:val="true"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BodyText"/>
    <w:qFormat/>
    <w:pPr>
      <w:numPr>
        <w:ilvl w:val="2"/>
        <w:numId w:val="1"/>
      </w:numPr>
      <w:outlineLvl w:val="2"/>
    </w:pPr>
    <w:rPr>
      <w:b/>
    </w:rPr>
  </w:style>
  <w:style w:type="paragraph" w:styleId="Heading4">
    <w:name w:val="heading 4"/>
    <w:basedOn w:val="Normal"/>
    <w:next w:val="BodyText"/>
    <w:qFormat/>
    <w:pPr>
      <w:numPr>
        <w:ilvl w:val="3"/>
        <w:numId w:val="1"/>
      </w:numPr>
      <w:outlineLvl w:val="3"/>
    </w:pPr>
    <w:rPr>
      <w:b/>
    </w:rPr>
  </w:style>
  <w:style w:type="paragraph" w:styleId="Heading5">
    <w:name w:val="heading 5"/>
    <w:basedOn w:val="Normal"/>
    <w:next w:val="BodyText"/>
    <w:qFormat/>
    <w:pPr>
      <w:numPr>
        <w:ilvl w:val="4"/>
        <w:numId w:val="1"/>
      </w:numPr>
      <w:outlineLvl w:val="4"/>
    </w:pPr>
    <w:rPr>
      <w:b/>
    </w:rPr>
  </w:style>
  <w:style w:type="paragraph" w:styleId="Heading6">
    <w:name w:val="heading 6"/>
    <w:basedOn w:val="Normal"/>
    <w:next w:val="BodyText"/>
    <w:qFormat/>
    <w:pPr>
      <w:numPr>
        <w:ilvl w:val="5"/>
        <w:numId w:val="1"/>
      </w:numPr>
      <w:outlineLvl w:val="5"/>
    </w:pPr>
    <w:rPr>
      <w:b/>
    </w:rPr>
  </w:style>
  <w:style w:type="paragraph" w:styleId="Heading7">
    <w:name w:val="heading 7"/>
    <w:basedOn w:val="Normal"/>
    <w:next w:val="BodyText"/>
    <w:qFormat/>
    <w:pPr>
      <w:numPr>
        <w:ilvl w:val="6"/>
        <w:numId w:val="1"/>
      </w:numPr>
      <w:outlineLvl w:val="6"/>
    </w:pPr>
    <w:rPr>
      <w:b/>
    </w:rPr>
  </w:style>
  <w:style w:type="paragraph" w:styleId="Heading8">
    <w:name w:val="heading 8"/>
    <w:basedOn w:val="Normal"/>
    <w:next w:val="BodyText"/>
    <w:qFormat/>
    <w:pPr>
      <w:numPr>
        <w:ilvl w:val="7"/>
        <w:numId w:val="1"/>
      </w:numPr>
      <w:outlineLvl w:val="7"/>
    </w:pPr>
    <w:rPr>
      <w:b/>
    </w:rPr>
  </w:style>
  <w:style w:type="paragraph" w:styleId="Heading9">
    <w:name w:val="heading 9"/>
    <w:basedOn w:val="Normal"/>
    <w:next w:val="BodyText"/>
    <w:qFormat/>
    <w:pPr>
      <w:numPr>
        <w:ilvl w:val="8"/>
        <w:numId w:val="1"/>
      </w:numPr>
      <w:outlineLvl w:val="8"/>
    </w:pPr>
    <w:rPr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Title01">
    <w:name w:val="Title01"/>
    <w:basedOn w:val="DefaultParagraphFont"/>
    <w:qFormat/>
    <w:rPr>
      <w:u w:val="single"/>
    </w:rPr>
  </w:style>
  <w:style w:type="character" w:styleId="Title02">
    <w:name w:val="Title02"/>
    <w:basedOn w:val="DefaultParagraphFont"/>
    <w:qFormat/>
    <w:rPr>
      <w:caps/>
    </w:rPr>
  </w:style>
  <w:style w:type="character" w:styleId="Title03">
    <w:name w:val="Title03"/>
    <w:basedOn w:val="DefaultParagraphFont"/>
    <w:qFormat/>
    <w:rPr>
      <w:caps/>
      <w:u w:val="single"/>
    </w:rPr>
  </w:style>
  <w:style w:type="character" w:styleId="Title04">
    <w:name w:val="Title04"/>
    <w:basedOn w:val="DefaultParagraphFont"/>
    <w:qFormat/>
    <w:rPr>
      <w:b/>
    </w:rPr>
  </w:style>
  <w:style w:type="character" w:styleId="Title05">
    <w:name w:val="Title05"/>
    <w:basedOn w:val="DefaultParagraphFont"/>
    <w:qFormat/>
    <w:rPr>
      <w:b/>
      <w:u w:val="single"/>
    </w:rPr>
  </w:style>
  <w:style w:type="character" w:styleId="Title06">
    <w:name w:val="Title06"/>
    <w:basedOn w:val="DefaultParagraphFont"/>
    <w:qFormat/>
    <w:rPr>
      <w:b/>
      <w:caps/>
    </w:rPr>
  </w:style>
  <w:style w:type="character" w:styleId="Title07">
    <w:name w:val="Title07"/>
    <w:basedOn w:val="DefaultParagraphFont"/>
    <w:qFormat/>
    <w:rPr>
      <w:b/>
      <w:caps/>
      <w:u w:val="single"/>
    </w:rPr>
  </w:style>
  <w:style w:type="character" w:styleId="Title08">
    <w:name w:val="Title08"/>
    <w:basedOn w:val="DefaultParagraphFont"/>
    <w:qFormat/>
    <w:rPr>
      <w:i/>
    </w:rPr>
  </w:style>
  <w:style w:type="character" w:styleId="Title09">
    <w:name w:val="Title09"/>
    <w:basedOn w:val="DefaultParagraphFont"/>
    <w:qFormat/>
    <w:rPr>
      <w:b/>
      <w:i/>
    </w:rPr>
  </w:style>
  <w:style w:type="character" w:styleId="Title10">
    <w:name w:val="Title10"/>
    <w:basedOn w:val="DefaultParagraphFont"/>
    <w:qFormat/>
    <w:rPr>
      <w:b/>
      <w:i/>
      <w:u w:val="single"/>
    </w:rPr>
  </w:style>
  <w:style w:type="character" w:styleId="Title11">
    <w:name w:val="Title11"/>
    <w:basedOn w:val="DefaultParagraphFont"/>
    <w:qFormat/>
    <w:rPr>
      <w:b/>
      <w:i/>
      <w:caps/>
    </w:rPr>
  </w:style>
  <w:style w:type="character" w:styleId="Title12">
    <w:name w:val="Title12"/>
    <w:basedOn w:val="DefaultParagraphFont"/>
    <w:qFormat/>
    <w:rPr>
      <w:b/>
      <w:i/>
      <w:caps/>
      <w:u w:val="single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240"/>
      <w:jc w:val="both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BodyText"/>
    <w:next w:val="BodyText"/>
    <w:qFormat/>
    <w:pPr/>
    <w:rPr>
      <w:b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>
      <w:sz w:val="16"/>
    </w:rPr>
  </w:style>
  <w:style w:type="paragraph" w:styleId="BlockText">
    <w:name w:val="Block Text"/>
    <w:basedOn w:val="BodyText"/>
    <w:qFormat/>
    <w:pPr>
      <w:ind w:hanging="0" w:start="1440" w:end="1440"/>
    </w:pPr>
    <w:rPr/>
  </w:style>
  <w:style w:type="paragraph" w:styleId="BodyText2">
    <w:name w:val="Body Text 2"/>
    <w:basedOn w:val="BodyText"/>
    <w:qFormat/>
    <w:pPr>
      <w:spacing w:lineRule="auto" w:line="480" w:before="0" w:after="480"/>
    </w:pPr>
    <w:rPr/>
  </w:style>
  <w:style w:type="paragraph" w:styleId="BodyText3">
    <w:name w:val="Body Text 3"/>
    <w:basedOn w:val="BodyText"/>
    <w:qFormat/>
    <w:pPr>
      <w:spacing w:before="0" w:after="160"/>
    </w:pPr>
    <w:rPr>
      <w:sz w:val="16"/>
    </w:rPr>
  </w:style>
  <w:style w:type="paragraph" w:styleId="BodyTextIndent">
    <w:name w:val="Body Text Indent"/>
    <w:basedOn w:val="BodyText"/>
    <w:pPr>
      <w:ind w:hanging="0" w:start="720" w:end="0"/>
    </w:pPr>
    <w:rPr/>
  </w:style>
  <w:style w:type="paragraph" w:styleId="BodyTextFirstIndent2">
    <w:name w:val="Body Text First Indent 2"/>
    <w:basedOn w:val="BodyText"/>
    <w:qFormat/>
    <w:pPr>
      <w:ind w:firstLine="1440" w:start="0" w:end="0"/>
    </w:pPr>
    <w:rPr/>
  </w:style>
  <w:style w:type="paragraph" w:styleId="BodyTextFirstIndent">
    <w:name w:val="Body Text First Indent"/>
    <w:basedOn w:val="BodyText"/>
    <w:qFormat/>
    <w:pPr>
      <w:ind w:firstLine="720" w:start="0" w:end="0"/>
    </w:pPr>
    <w:rPr/>
  </w:style>
  <w:style w:type="paragraph" w:styleId="BodyTextIndent2">
    <w:name w:val="Body Text Indent 2"/>
    <w:basedOn w:val="BodyText"/>
    <w:qFormat/>
    <w:pPr>
      <w:ind w:hanging="0" w:start="1440" w:end="0"/>
    </w:pPr>
    <w:rPr/>
  </w:style>
  <w:style w:type="paragraph" w:styleId="BodyTextIndent3">
    <w:name w:val="Body Text Indent 3"/>
    <w:basedOn w:val="BodyText"/>
    <w:qFormat/>
    <w:pPr>
      <w:spacing w:lineRule="auto" w:line="480" w:before="0" w:after="480"/>
      <w:ind w:hanging="0" w:start="720" w:end="0"/>
    </w:pPr>
    <w:rPr/>
  </w:style>
  <w:style w:type="paragraph" w:styleId="Closing">
    <w:name w:val="Closing"/>
    <w:basedOn w:val="Normal"/>
    <w:qFormat/>
    <w:pPr>
      <w:ind w:hanging="0" w:start="4320" w:end="0"/>
    </w:pPr>
    <w:rPr/>
  </w:style>
  <w:style w:type="paragraph" w:styleId="CommentText">
    <w:name w:val="Comment Text"/>
    <w:basedOn w:val="BodyText"/>
    <w:qFormat/>
    <w:pPr/>
    <w:rPr>
      <w:sz w:val="20"/>
    </w:rPr>
  </w:style>
  <w:style w:type="paragraph" w:styleId="Date">
    <w:name w:val="Date"/>
    <w:basedOn w:val="BodyText"/>
    <w:next w:val="BodyText"/>
    <w:qFormat/>
    <w:pPr/>
    <w:rPr/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Signature">
    <w:name w:val="Signature"/>
    <w:basedOn w:val="Normal"/>
    <w:pPr>
      <w:ind w:hanging="0" w:start="4320" w:end="0"/>
    </w:pPr>
    <w:rPr/>
  </w:style>
  <w:style w:type="paragraph" w:styleId="quote">
    <w:name w:val="quote"/>
    <w:basedOn w:val="BodyText"/>
    <w:qFormat/>
    <w:pPr>
      <w:ind w:hanging="0" w:start="1440" w:end="720"/>
    </w:pPr>
    <w:rPr>
      <w:sz w:val="22"/>
    </w:rPr>
  </w:style>
  <w:style w:type="paragraph" w:styleId="ListBullet">
    <w:name w:val="List Bullet"/>
    <w:basedOn w:val="Normal"/>
    <w:qFormat/>
    <w:pPr>
      <w:numPr>
        <w:ilvl w:val="0"/>
        <w:numId w:val="2"/>
      </w:numPr>
      <w:spacing w:before="0" w:after="180"/>
    </w:pPr>
    <w:rPr/>
  </w:style>
  <w:style w:type="paragraph" w:styleId="FootnoteText">
    <w:name w:val="footnote text"/>
    <w:basedOn w:val="Normal"/>
    <w:pPr/>
    <w:rPr>
      <w:sz w:val="20"/>
    </w:rPr>
  </w:style>
  <w:style w:type="paragraph" w:styleId="EndnoteText">
    <w:name w:val="endnote text"/>
    <w:basedOn w:val="Normal"/>
    <w:pPr/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endnotes" Target="endnotes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2001-08-15T16:26:00Z</dcterms:created>
  <dc:creator>jfc</dc:creator>
  <dc:description/>
  <dc:language>en-CA</dc:language>
  <cp:lastModifiedBy>raa</cp:lastModifiedBy>
  <cp:lastPrinted>2001-08-15T14:24:00Z</cp:lastPrinted>
  <dcterms:modified xsi:type="dcterms:W3CDTF">2001-08-16T00:41:00Z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30389234.2</vt:lpwstr>
  </property>
</Properties>
</file>