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TRI-UNION HEDGING PROGRAM</w:t>
      </w:r>
    </w:p>
    <w:p>
      <w:pPr>
        <w:pStyle w:val="Normal"/>
        <w:jc w:val="center"/>
        <w:rPr>
          <w:b/>
          <w:bCs/>
          <w:sz w:val="28"/>
        </w:rPr>
      </w:pPr>
      <w:r>
        <w:rPr>
          <w:b/>
          <w:bCs/>
          <w:sz w:val="28"/>
        </w:rPr>
        <w:t>ENRON NORTH AMERICA CORP.</w:t>
      </w:r>
    </w:p>
    <w:p>
      <w:pPr>
        <w:pStyle w:val="Normal"/>
        <w:jc w:val="center"/>
        <w:rPr>
          <w:b/>
          <w:bCs/>
          <w:sz w:val="28"/>
        </w:rPr>
      </w:pPr>
      <w:r>
        <w:rPr>
          <w:b/>
          <w:bCs/>
          <w:sz w:val="28"/>
        </w:rPr>
        <w:t>DISCUSSION POINTS</w:t>
      </w:r>
    </w:p>
    <w:p>
      <w:pPr>
        <w:pStyle w:val="Normal"/>
        <w:jc w:val="center"/>
        <w:rPr>
          <w:b/>
          <w:bCs/>
          <w:sz w:val="28"/>
        </w:rPr>
      </w:pPr>
      <w:r>
        <w:rPr>
          <w:b/>
          <w:bCs/>
          <w:sz w:val="28"/>
        </w:rPr>
      </w:r>
    </w:p>
    <w:p>
      <w:pPr>
        <w:pStyle w:val="Normal"/>
        <w:jc w:val="center"/>
        <w:rPr>
          <w:i/>
          <w:i/>
          <w:iCs/>
        </w:rPr>
      </w:pPr>
      <w:r>
        <w:rPr>
          <w:i/>
          <w:iCs/>
        </w:rPr>
        <w:t>Nothing herein shall be construed to be any commitment by any party whatsoever.   These materials are for discussion purposes only.</w:t>
      </w:r>
    </w:p>
    <w:p>
      <w:pPr>
        <w:pStyle w:val="Normal"/>
        <w:jc w:val="center"/>
        <w:rPr>
          <w:i/>
          <w:i/>
          <w:iCs/>
        </w:rPr>
      </w:pPr>
      <w:r>
        <w:rPr>
          <w:i/>
          <w:iCs/>
        </w:rPr>
      </w:r>
    </w:p>
    <w:p>
      <w:pPr>
        <w:pStyle w:val="Normal"/>
        <w:jc w:val="both"/>
        <w:rPr/>
      </w:pPr>
      <w:r>
        <w:rPr/>
        <w:t>■</w:t>
      </w:r>
      <w:r>
        <w:rPr/>
        <w:tab/>
        <w:t>Hedging program to be limited to 75% of PDP at all times.</w:t>
      </w:r>
    </w:p>
    <w:p>
      <w:pPr>
        <w:pStyle w:val="Normal"/>
        <w:jc w:val="both"/>
        <w:rPr/>
      </w:pPr>
      <w:r>
        <w:rPr/>
      </w:r>
    </w:p>
    <w:p>
      <w:pPr>
        <w:pStyle w:val="Normal"/>
        <w:jc w:val="both"/>
        <w:rPr/>
      </w:pPr>
      <w:r>
        <w:rPr/>
        <w:t>■</w:t>
      </w:r>
      <w:r>
        <w:rPr/>
        <w:tab/>
        <w:t>ENA will hold a first lien and have first priority for payment (after Collateral Agent fees and expenses) during the entire term of any and all ENA hedges; other approved hedging counterparties will be junior to ENA.  The noteholders will be subordinate to all approved hedging counterparties.</w:t>
      </w:r>
    </w:p>
    <w:p>
      <w:pPr>
        <w:pStyle w:val="Normal"/>
        <w:jc w:val="both"/>
        <w:rPr/>
      </w:pPr>
      <w:r>
        <w:rPr/>
      </w:r>
    </w:p>
    <w:p>
      <w:pPr>
        <w:pStyle w:val="Normal"/>
        <w:jc w:val="both"/>
        <w:rPr/>
      </w:pPr>
      <w:r>
        <w:rPr/>
        <w:t>■</w:t>
      </w:r>
      <w:r>
        <w:rPr/>
        <w:tab/>
        <w:t>ENA shall have the independent right to trigger a default under the collateral documents upon an Event of Default or Termination Event under any hedge resulting in the designation of an Early Termination Date under the ISDA agreement, and no waiting period shall apply with respect to the right of ENA to direct the Collateral Agent to pursue foreclosure and other remedies upon any such Event of Default or Termination Event.</w:t>
      </w:r>
    </w:p>
    <w:p>
      <w:pPr>
        <w:pStyle w:val="Normal"/>
        <w:jc w:val="both"/>
        <w:rPr/>
      </w:pPr>
      <w:r>
        <w:rPr/>
      </w:r>
    </w:p>
    <w:p>
      <w:pPr>
        <w:pStyle w:val="Normal"/>
        <w:jc w:val="both"/>
        <w:rPr/>
      </w:pPr>
      <w:r>
        <w:rPr/>
        <w:t>■</w:t>
      </w:r>
      <w:r>
        <w:rPr/>
        <w:tab/>
        <w:t>The ISDA agreement will provide for certain financial covenants to be negotiated.</w:t>
      </w:r>
    </w:p>
    <w:p>
      <w:pPr>
        <w:pStyle w:val="Normal"/>
        <w:jc w:val="both"/>
        <w:rPr/>
      </w:pPr>
      <w:r>
        <w:rPr/>
      </w:r>
    </w:p>
    <w:p>
      <w:pPr>
        <w:pStyle w:val="Normal"/>
        <w:jc w:val="both"/>
        <w:rPr/>
      </w:pPr>
      <w:r>
        <w:rPr/>
        <w:t>■</w:t>
      </w:r>
      <w:r>
        <w:rPr/>
        <w:tab/>
        <w:t>ENA hedges will be cross-defaulted to any other default that may result in a trigger under the collateral documents.</w:t>
      </w:r>
    </w:p>
    <w:p>
      <w:pPr>
        <w:pStyle w:val="Normal"/>
        <w:jc w:val="both"/>
        <w:rPr/>
      </w:pPr>
      <w:r>
        <w:rPr/>
      </w:r>
    </w:p>
    <w:p>
      <w:pPr>
        <w:pStyle w:val="Normal"/>
        <w:jc w:val="both"/>
        <w:rPr/>
      </w:pPr>
      <w:r>
        <w:rPr/>
        <w:t>■</w:t>
      </w:r>
      <w:r>
        <w:rPr/>
        <w:tab/>
        <w:t>ENA will hold a first right of refusal on all hedges to be placed during the term of the hedging program.</w:t>
      </w:r>
    </w:p>
    <w:p>
      <w:pPr>
        <w:pStyle w:val="Normal"/>
        <w:jc w:val="both"/>
        <w:rPr/>
      </w:pPr>
      <w:r>
        <w:rPr/>
      </w:r>
    </w:p>
    <w:p>
      <w:pPr>
        <w:pStyle w:val="Normal"/>
        <w:jc w:val="both"/>
        <w:rPr/>
      </w:pPr>
      <w:r>
        <w:rPr/>
        <w:t>■</w:t>
      </w:r>
      <w:r>
        <w:rPr/>
        <w:tab/>
        <w:t>ENA will be provided title opinions at the sole cost and expense of Tri-Union evidencing good and defensible title to 70% of the value of the PDP properties prior to closing, to be downdated to evidence a first lien in the Collateral Agent post closing.</w:t>
        <w:tab/>
      </w:r>
    </w:p>
    <w:p>
      <w:pPr>
        <w:pStyle w:val="Normal"/>
        <w:jc w:val="both"/>
        <w:rPr/>
      </w:pPr>
      <w:r>
        <w:rPr/>
      </w:r>
    </w:p>
    <w:p>
      <w:pPr>
        <w:pStyle w:val="Normal"/>
        <w:jc w:val="both"/>
        <w:rPr/>
      </w:pPr>
      <w:r>
        <w:rPr/>
        <w:t>■</w:t>
      </w:r>
      <w:r>
        <w:rPr/>
        <w:tab/>
        <w:t>ENA will be provided any environmental impact studies concerning the PDP properties that have been obtained by Tri-Union.</w:t>
      </w:r>
    </w:p>
    <w:p>
      <w:pPr>
        <w:pStyle w:val="Normal"/>
        <w:jc w:val="both"/>
        <w:rPr/>
      </w:pPr>
      <w:r>
        <w:rPr/>
      </w:r>
    </w:p>
    <w:p>
      <w:pPr>
        <w:pStyle w:val="Normal"/>
        <w:jc w:val="both"/>
        <w:rPr/>
      </w:pPr>
      <w:r>
        <w:rPr/>
        <w:t>■</w:t>
      </w:r>
      <w:r>
        <w:rPr/>
        <w:tab/>
        <w:t>In order for ENA to enter into a hedge during any initial stub period prior to the collateralized transaction, ENA will require cash or a letter of credit in an amount satisfactory to ENA posted as collateral margin during the stub period; such transaction to be approved by the bankruptcy court.</w:t>
      </w:r>
    </w:p>
    <w:p>
      <w:pPr>
        <w:pStyle w:val="Normal"/>
        <w:jc w:val="both"/>
        <w:rPr/>
      </w:pPr>
      <w:r>
        <w:rPr/>
      </w:r>
    </w:p>
    <w:p>
      <w:pPr>
        <w:pStyle w:val="Normal"/>
        <w:jc w:val="both"/>
        <w:rPr/>
      </w:pPr>
      <w:r>
        <w:rPr/>
        <w:t>■</w:t>
      </w:r>
      <w:r>
        <w:rPr/>
        <w:tab/>
        <w:t>All documentation must be satisfactory to ENA in form and substance.</w:t>
      </w:r>
    </w:p>
    <w:p>
      <w:pPr>
        <w:pStyle w:val="Normal"/>
        <w:jc w:val="both"/>
        <w:rPr/>
      </w:pPr>
      <w:r>
        <w:rPr/>
      </w:r>
    </w:p>
    <w:p>
      <w:pPr>
        <w:pStyle w:val="Normal"/>
        <w:jc w:val="center"/>
        <w:rPr>
          <w:i/>
          <w:i/>
          <w:iCs/>
        </w:rPr>
      </w:pPr>
      <w:r>
        <w:rPr>
          <w:i/>
          <w:iCs/>
        </w:rPr>
        <w:t>No proposed or underlying documentation has been reviewed and all discussion items are therefore subject to a review of same and further comment.</w:t>
      </w:r>
    </w:p>
    <w:p>
      <w:pPr>
        <w:pStyle w:val="Normal"/>
        <w:jc w:val="both"/>
        <w:rPr/>
      </w:pPr>
      <w:r>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/mnt/main-storage/datasets/enron-docs/doc/TriUnion_1_a.doc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2001-05-18T12:02:00Z</dcterms:created>
  <dc:creator>mcook</dc:creator>
  <dc:description/>
  <dc:language>en-CA</dc:language>
  <cp:lastModifiedBy>mcook</cp:lastModifiedBy>
  <cp:lastPrinted>2001-05-17T10:54:00Z</cp:lastPrinted>
  <dcterms:modified xsi:type="dcterms:W3CDTF">2001-05-21T11:03:00Z</dcterms:modified>
  <cp:revision>5</cp:revision>
  <dc:subject/>
  <dc:title>TRI-UNION HEDGING PROGRAM</dc:title>
</cp:coreProperties>
</file>