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2"/>
        </w:rPr>
      </w:pPr>
      <w:r>
        <w:rPr>
          <w:sz w:val="22"/>
        </w:rPr>
      </w:r>
    </w:p>
    <w:p>
      <w:pPr>
        <w:pStyle w:val="Normal"/>
        <w:numPr>
          <w:ilvl w:val="0"/>
          <w:numId w:val="0"/>
        </w:numPr>
        <w:jc w:val="center"/>
        <w:outlineLvl w:val="0"/>
        <w:rPr>
          <w:b/>
          <w:sz w:val="22"/>
        </w:rPr>
      </w:pPr>
      <w:r>
        <w:rPr>
          <w:b/>
          <w:sz w:val="22"/>
        </w:rPr>
        <w:t xml:space="preserve"> </w:t>
      </w:r>
      <w:r>
        <w:rPr>
          <w:b/>
          <w:sz w:val="22"/>
        </w:rPr>
        <w:t xml:space="preserve">CONFIRMATION </w:t>
      </w:r>
    </w:p>
    <w:p>
      <w:pPr>
        <w:pStyle w:val="Normal"/>
        <w:numPr>
          <w:ilvl w:val="0"/>
          <w:numId w:val="0"/>
        </w:numPr>
        <w:jc w:val="center"/>
        <w:outlineLvl w:val="0"/>
        <w:rPr>
          <w:b/>
          <w:sz w:val="22"/>
        </w:rPr>
      </w:pPr>
      <w:r>
        <w:rPr>
          <w:b/>
          <w:sz w:val="22"/>
        </w:rPr>
        <w:t>(SWAP)</w:t>
      </w:r>
    </w:p>
    <w:p>
      <w:pPr>
        <w:pStyle w:val="Normal"/>
        <w:rPr>
          <w:b/>
          <w:sz w:val="22"/>
        </w:rPr>
      </w:pPr>
      <w:r>
        <w:rPr>
          <w:b/>
          <w:sz w:val="22"/>
        </w:rPr>
      </w:r>
    </w:p>
    <w:p>
      <w:pPr>
        <w:pStyle w:val="Normal"/>
        <w:rPr>
          <w:sz w:val="22"/>
        </w:rPr>
      </w:pPr>
      <w:r>
        <w:rPr>
          <w:sz w:val="22"/>
        </w:rPr>
        <w:t>Date:</w:t>
        <w:tab/>
        <w:tab/>
        <w:tab/>
        <w:tab/>
      </w:r>
      <w:r>
        <w:rPr>
          <w:sz w:val="22"/>
        </w:rPr>
        <w:fldChar w:fldCharType="begin"/>
      </w:r>
      <w:r>
        <w:rPr>
          <w:sz w:val="22"/>
        </w:rPr>
        <w:instrText xml:space="preserve"> MERGEFIELD DealDate </w:instrText>
      </w:r>
      <w:r>
        <w:rPr>
          <w:sz w:val="22"/>
        </w:rPr>
        <w:fldChar w:fldCharType="separate"/>
      </w:r>
      <w:r>
        <w:rPr>
          <w:sz w:val="22"/>
        </w:rPr>
        <w:t>October 18, 2001</w:t>
      </w:r>
      <w:r>
        <w:rPr>
          <w:sz w:val="22"/>
        </w:rPr>
        <w:fldChar w:fldCharType="end"/>
      </w:r>
    </w:p>
    <w:p>
      <w:pPr>
        <w:pStyle w:val="Normal"/>
        <w:rPr/>
      </w:pPr>
      <w:r>
        <w:rPr>
          <w:sz w:val="22"/>
        </w:rPr>
        <w:t>To:</w:t>
        <w:tab/>
        <w:tab/>
        <w:tab/>
        <w:tab/>
      </w:r>
      <w:r>
        <w:rPr>
          <w:sz w:val="22"/>
        </w:rPr>
        <w:fldChar w:fldCharType="begin"/>
      </w:r>
      <w:r>
        <w:rPr>
          <w:sz w:val="22"/>
        </w:rPr>
        <w:instrText xml:space="preserve"> MERGEFIELD CounterpartyName </w:instrText>
      </w:r>
      <w:r>
        <w:rPr>
          <w:sz w:val="22"/>
        </w:rPr>
        <w:fldChar w:fldCharType="separate"/>
      </w:r>
      <w:r>
        <w:rPr>
          <w:sz w:val="22"/>
        </w:rPr>
        <w:t>Tri-State Generation and Transmission Association, Inc.</w:t>
      </w:r>
      <w:r>
        <w:rPr>
          <w:sz w:val="22"/>
        </w:rPr>
        <w:fldChar w:fldCharType="end"/>
      </w:r>
      <w:r>
        <w:rPr>
          <w:sz w:val="22"/>
        </w:rPr>
        <w:t xml:space="preserve">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r>
      <w:r>
        <w:rPr>
          <w:sz w:val="22"/>
        </w:rPr>
        <w:fldChar w:fldCharType="begin"/>
      </w:r>
      <w:r>
        <w:rPr>
          <w:sz w:val="22"/>
        </w:rPr>
        <w:instrText xml:space="preserve"> MERGEFIELD CounterpartyFax </w:instrText>
      </w:r>
      <w:r>
        <w:rPr>
          <w:sz w:val="22"/>
        </w:rPr>
        <w:fldChar w:fldCharType="separate"/>
      </w:r>
      <w:r>
        <w:rPr>
          <w:sz w:val="22"/>
        </w:rPr>
        <w:t>????No address found, Call IT</w:t>
      </w:r>
      <w:r>
        <w:rPr>
          <w:sz w:val="22"/>
        </w:rPr>
        <w:fldChar w:fldCharType="end"/>
      </w:r>
    </w:p>
    <w:p>
      <w:pPr>
        <w:pStyle w:val="Normal"/>
        <w:numPr>
          <w:ilvl w:val="0"/>
          <w:numId w:val="0"/>
        </w:numPr>
        <w:outlineLvl w:val="0"/>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(“ENA”)</w:t>
      </w:r>
    </w:p>
    <w:p>
      <w:pPr>
        <w:pStyle w:val="Normal"/>
        <w:rPr>
          <w:sz w:val="22"/>
        </w:rPr>
      </w:pPr>
      <w:r>
        <w:rPr>
          <w:sz w:val="22"/>
        </w:rPr>
        <w:t>Re:</w:t>
        <w:tab/>
        <w:tab/>
        <w:tab/>
        <w:tab/>
        <w:t xml:space="preserve">Commodity Swap </w:t>
      </w:r>
      <w:r>
        <w:rPr>
          <w:sz w:val="22"/>
        </w:rPr>
        <w:fldChar w:fldCharType="begin"/>
      </w:r>
      <w:r>
        <w:rPr>
          <w:sz w:val="22"/>
        </w:rPr>
        <w:instrText xml:space="preserve"> MERGEFIELD DealNumber </w:instrText>
      </w:r>
      <w:r>
        <w:rPr>
          <w:sz w:val="22"/>
        </w:rPr>
        <w:fldChar w:fldCharType="separate"/>
      </w:r>
      <w:r>
        <w:rPr>
          <w:sz w:val="22"/>
        </w:rPr>
        <w:t>YB5708.1</w:t>
      </w:r>
      <w:r>
        <w:rPr>
          <w:sz w:val="22"/>
        </w:rPr>
        <w:fldChar w:fldCharType="end"/>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numPr>
          <w:ilvl w:val="0"/>
          <w:numId w:val="0"/>
        </w:numPr>
        <w:outlineLvl w:val="0"/>
        <w:rPr>
          <w:b/>
          <w:sz w:val="22"/>
        </w:rPr>
      </w:pPr>
      <w:r>
        <w:rPr>
          <w:b/>
          <w:sz w:val="22"/>
        </w:rPr>
        <w:t>General Terms:</w:t>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QtyPerPeriod </w:instrText>
            </w:r>
            <w:r>
              <w:rPr>
                <w:sz w:val="22"/>
              </w:rPr>
              <w:fldChar w:fldCharType="separate"/>
            </w:r>
            <w:r>
              <w:rPr>
                <w:sz w:val="22"/>
              </w:rPr>
              <w:t>2,500 MMBtu multiplied by the number of days in the relevant Determination Period</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fldChar w:fldCharType="begin"/>
            </w:r>
            <w:r>
              <w:rPr>
                <w:sz w:val="22"/>
              </w:rPr>
              <w:instrText xml:space="preserve"> MERGEFIELD UnitOfMeasure </w:instrText>
            </w:r>
            <w:r>
              <w:rPr>
                <w:sz w:val="22"/>
              </w:rPr>
              <w:fldChar w:fldCharType="separate"/>
            </w:r>
            <w:r>
              <w:rPr>
                <w:sz w:val="22"/>
              </w:rPr>
              <w:t>MMBtu (One Million British Thermal Units)</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Trade Date:</w:t>
            </w:r>
          </w:p>
        </w:tc>
        <w:tc>
          <w:tcPr>
            <w:tcW w:w="6102" w:type="dxa"/>
            <w:tcBorders/>
          </w:tcPr>
          <w:p>
            <w:pPr>
              <w:pStyle w:val="Normal"/>
              <w:jc w:val="both"/>
              <w:rPr>
                <w:sz w:val="22"/>
              </w:rPr>
            </w:pPr>
            <w:r>
              <w:rPr>
                <w:sz w:val="22"/>
              </w:rPr>
              <w:fldChar w:fldCharType="begin"/>
            </w:r>
            <w:r>
              <w:rPr>
                <w:sz w:val="22"/>
              </w:rPr>
              <w:instrText xml:space="preserve"> MERGEFIELD DealDate </w:instrText>
            </w:r>
            <w:r>
              <w:rPr>
                <w:sz w:val="22"/>
              </w:rPr>
              <w:fldChar w:fldCharType="separate"/>
            </w:r>
            <w:r>
              <w:rPr>
                <w:sz w:val="22"/>
              </w:rPr>
              <w:t>October 18,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fldChar w:fldCharType="begin"/>
            </w:r>
            <w:r>
              <w:rPr>
                <w:sz w:val="22"/>
              </w:rPr>
              <w:instrText xml:space="preserve"> MERGEFIELD TransStartDate </w:instrText>
            </w:r>
            <w:r>
              <w:rPr>
                <w:sz w:val="22"/>
              </w:rPr>
              <w:fldChar w:fldCharType="separate"/>
            </w:r>
            <w:r>
              <w:rPr>
                <w:sz w:val="22"/>
              </w:rPr>
              <w:t>December 01, 2001</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fldChar w:fldCharType="begin"/>
            </w:r>
            <w:r>
              <w:rPr>
                <w:sz w:val="22"/>
              </w:rPr>
              <w:instrText xml:space="preserve"> MERGEFIELD TransStopDate </w:instrText>
            </w:r>
            <w:r>
              <w:rPr>
                <w:sz w:val="22"/>
              </w:rPr>
              <w:fldChar w:fldCharType="separate"/>
            </w:r>
            <w:r>
              <w:rPr>
                <w:sz w:val="22"/>
              </w:rPr>
              <w:t>February 28, 2002</w:t>
            </w:r>
            <w:r>
              <w:rPr>
                <w:sz w:val="22"/>
              </w:rPr>
              <w:fldChar w:fldCharType="end"/>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The Period beginning with and including December 01, 2001 through and including February 28, 2002.</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rPr>
          <w:sz w:val="22"/>
        </w:rPr>
      </w:pPr>
      <w:r>
        <w:rPr>
          <w:sz w:val="22"/>
        </w:rPr>
      </w:r>
    </w:p>
    <w:p>
      <w:pPr>
        <w:pStyle w:val="Normal"/>
        <w:numPr>
          <w:ilvl w:val="0"/>
          <w:numId w:val="0"/>
        </w:numPr>
        <w:outlineLvl w:val="0"/>
        <w:rPr>
          <w:b/>
          <w:sz w:val="22"/>
        </w:rPr>
      </w:pPr>
      <w:r>
        <w:rPr>
          <w:b/>
          <w:sz w:val="22"/>
        </w:rPr>
        <w:t>Fixed Amount Details:</w:t>
      </w:r>
    </w:p>
    <w:p>
      <w:pPr>
        <w:pStyle w:val="Normal"/>
        <w:rPr>
          <w:b/>
          <w:sz w:val="22"/>
        </w:rPr>
      </w:pPr>
      <w:r>
        <w:rPr>
          <w:b/>
          <w:sz w:val="22"/>
        </w:rPr>
      </w:r>
    </w:p>
    <w:p>
      <w:pPr>
        <w:pStyle w:val="Normal"/>
        <w:numPr>
          <w:ilvl w:val="0"/>
          <w:numId w:val="0"/>
        </w:numPr>
        <w:jc w:val="both"/>
        <w:outlineLvl w:val="0"/>
        <w:rPr>
          <w:sz w:val="22"/>
        </w:rPr>
      </w:pPr>
      <w:r>
        <w:rPr>
          <w:sz w:val="22"/>
        </w:rPr>
        <w:tab/>
        <w:t>Fixed Price Payor:</w:t>
        <w:tab/>
        <w:tab/>
        <w:tab/>
      </w:r>
      <w:r>
        <w:rPr>
          <w:sz w:val="22"/>
        </w:rPr>
        <w:fldChar w:fldCharType="begin"/>
      </w:r>
      <w:r>
        <w:rPr>
          <w:sz w:val="22"/>
        </w:rPr>
        <w:instrText xml:space="preserve"> MERGEFIELD FixedPayerWCP </w:instrText>
      </w:r>
      <w:r>
        <w:rPr>
          <w:sz w:val="22"/>
        </w:rPr>
        <w:fldChar w:fldCharType="separate"/>
      </w:r>
      <w:r>
        <w:rPr>
          <w:sz w:val="22"/>
        </w:rPr>
        <w:t>Counterparty</w:t>
      </w:r>
      <w:r>
        <w:rPr>
          <w:sz w:val="22"/>
        </w:rPr>
        <w:fldChar w:fldCharType="end"/>
      </w:r>
    </w:p>
    <w:p>
      <w:pPr>
        <w:pStyle w:val="Normal"/>
        <w:rPr>
          <w:sz w:val="22"/>
        </w:rPr>
      </w:pPr>
      <w:r>
        <w:rPr>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The Colorado Interstate Gas Co. - Rocky Mountains  Index price for delivery during the applicable Determination Period in the “Prices of Spot Gas Delivered to Pipelines” section located in the first issue of Inside F.E.R.C.’s Gas Market Report published during the applicable Determination Period</w:t>
            </w:r>
            <w:r>
              <w:rPr>
                <w:sz w:val="22"/>
              </w:rPr>
              <w:fldChar w:fldCharType="end"/>
            </w:r>
          </w:p>
        </w:tc>
      </w:tr>
    </w:tbl>
    <w:p>
      <w:pPr>
        <w:pStyle w:val="Normal"/>
        <w:rPr>
          <w:sz w:val="22"/>
        </w:rPr>
      </w:pPr>
      <w:r>
        <w:rPr>
          <w:sz w:val="22"/>
        </w:rPr>
        <w:tab/>
      </w:r>
    </w:p>
    <w:p>
      <w:pPr>
        <w:pStyle w:val="Normal"/>
        <w:rPr>
          <w:sz w:val="22"/>
        </w:rPr>
      </w:pPr>
      <w:r>
        <w:rPr>
          <w:sz w:val="22"/>
        </w:rPr>
      </w:r>
    </w:p>
    <w:p>
      <w:pPr>
        <w:pStyle w:val="Normal"/>
        <w:numPr>
          <w:ilvl w:val="0"/>
          <w:numId w:val="0"/>
        </w:numPr>
        <w:outlineLvl w:val="0"/>
        <w:rPr>
          <w:b/>
          <w:sz w:val="22"/>
        </w:rPr>
      </w:pPr>
      <w:r>
        <w:rPr>
          <w:b/>
          <w:sz w:val="22"/>
        </w:rPr>
      </w:r>
    </w:p>
    <w:p>
      <w:pPr>
        <w:pStyle w:val="Normal"/>
        <w:numPr>
          <w:ilvl w:val="0"/>
          <w:numId w:val="0"/>
        </w:numPr>
        <w:outlineLvl w:val="0"/>
        <w:rPr>
          <w:b/>
          <w:sz w:val="22"/>
        </w:rPr>
      </w:pPr>
      <w:r>
        <w:rPr>
          <w:b/>
          <w:sz w:val="22"/>
        </w:rPr>
      </w:r>
    </w:p>
    <w:p>
      <w:pPr>
        <w:pStyle w:val="Normal"/>
        <w:numPr>
          <w:ilvl w:val="0"/>
          <w:numId w:val="0"/>
        </w:numPr>
        <w:outlineLvl w:val="0"/>
        <w:rPr>
          <w:b/>
          <w:sz w:val="22"/>
        </w:rPr>
      </w:pPr>
      <w:r>
        <w:rPr>
          <w:b/>
          <w:sz w:val="22"/>
        </w:rPr>
        <w:t>Floating Amount Details:</w:t>
      </w:r>
    </w:p>
    <w:p>
      <w:pPr>
        <w:pStyle w:val="Normal"/>
        <w:rPr>
          <w:b/>
          <w:sz w:val="22"/>
        </w:rPr>
      </w:pPr>
      <w:r>
        <w:rPr>
          <w:b/>
          <w:sz w:val="22"/>
        </w:rPr>
      </w:r>
    </w:p>
    <w:p>
      <w:pPr>
        <w:pStyle w:val="Normal"/>
        <w:numPr>
          <w:ilvl w:val="0"/>
          <w:numId w:val="0"/>
        </w:numPr>
        <w:jc w:val="both"/>
        <w:outlineLvl w:val="0"/>
        <w:rPr>
          <w:sz w:val="22"/>
        </w:rPr>
      </w:pPr>
      <w:r>
        <w:rPr>
          <w:sz w:val="22"/>
        </w:rPr>
        <w:tab/>
        <w:t>Floating Price Payor:</w:t>
        <w:tab/>
        <w:tab/>
        <w:tab/>
      </w:r>
      <w:r>
        <w:rPr>
          <w:sz w:val="22"/>
        </w:rPr>
        <w:fldChar w:fldCharType="begin"/>
      </w:r>
      <w:r>
        <w:rPr>
          <w:sz w:val="22"/>
        </w:rPr>
        <w:instrText xml:space="preserve"> MERGEFIELD FloatPayerWCP </w:instrText>
      </w:r>
      <w:r>
        <w:rPr>
          <w:sz w:val="22"/>
        </w:rPr>
        <w:fldChar w:fldCharType="separate"/>
      </w:r>
      <w:r>
        <w:rPr>
          <w:sz w:val="22"/>
        </w:rPr>
        <w:t>ENA</w:t>
      </w:r>
      <w:r>
        <w:rPr>
          <w:sz w:val="22"/>
        </w:rPr>
        <w:fldChar w:fldCharType="end"/>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Floating Price:</w:t>
            </w:r>
          </w:p>
        </w:tc>
        <w:tc>
          <w:tcPr>
            <w:tcW w:w="6102" w:type="dxa"/>
            <w:tcBorders/>
          </w:tcPr>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arithmetic average of the daily prices for all calendar days during the Determination Period, the price for each such calendar day being the “Flow date: Midpoint: Rockies:  CIG (N. syst)” as published under the heading “Daily Price Survey” in Gas Daily</w:t>
            </w:r>
            <w:r>
              <w:rPr>
                <w:sz w:val="22"/>
              </w:rPr>
              <w:fldChar w:fldCharType="end"/>
            </w:r>
          </w:p>
        </w:tc>
      </w:tr>
      <w:tr>
        <w:trPr/>
        <w:tc>
          <w:tcPr>
            <w:tcW w:w="4338" w:type="dxa"/>
            <w:tcBorders/>
          </w:tcPr>
          <w:p>
            <w:pPr>
              <w:pStyle w:val="Normal"/>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numPr>
          <w:ilvl w:val="0"/>
          <w:numId w:val="0"/>
        </w:numPr>
        <w:jc w:val="both"/>
        <w:outlineLvl w:val="0"/>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sz w:val="22"/>
              </w:rPr>
            </w:pPr>
            <w:r>
              <w:rPr>
                <w:b/>
                <w:sz w:val="22"/>
              </w:rPr>
              <w:t>Credit or Other Special Provisions:</w:t>
            </w:r>
          </w:p>
        </w:tc>
        <w:tc>
          <w:tcPr>
            <w:tcW w:w="6102" w:type="dxa"/>
            <w:tcBorders/>
          </w:tcPr>
          <w:p>
            <w:pPr>
              <w:pStyle w:val="Normal"/>
              <w:jc w:val="both"/>
              <w:rPr>
                <w:sz w:val="22"/>
              </w:rPr>
            </w:pPr>
            <w:r>
              <w:rPr>
                <w:sz w:val="22"/>
              </w:rPr>
              <w:fldChar w:fldCharType="begin"/>
            </w:r>
            <w:r>
              <w:rPr>
                <w:sz w:val="22"/>
              </w:rPr>
              <w:instrText xml:space="preserve"> MERGEFIELD CreditProvision </w:instrText>
            </w:r>
            <w:r>
              <w:rPr>
                <w:sz w:val="22"/>
              </w:rPr>
              <w:fldChar w:fldCharType="separate"/>
            </w:r>
            <w:r>
              <w:rPr>
                <w:sz w:val="22"/>
              </w:rPr>
              <w:t>Not Applicable</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jc w:val="both"/>
        <w:rPr>
          <w:sz w:val="22"/>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tc>
        <w:tc>
          <w:tcPr>
            <w:tcW w:w="6012" w:type="dxa"/>
            <w:tcBorders/>
          </w:tcPr>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Tri-State Generation and Transmission Association, Inc.</w:t>
            </w:r>
            <w:r>
              <w:rPr>
                <w:sz w:val="22"/>
              </w:rPr>
              <w:fldChar w:fldCharType="end"/>
            </w:r>
          </w:p>
        </w:tc>
      </w:tr>
      <w:tr>
        <w:trPr/>
        <w:tc>
          <w:tcPr>
            <w:tcW w:w="4428" w:type="dxa"/>
            <w:tcBorders/>
          </w:tcPr>
          <w:p>
            <w:pPr>
              <w:pStyle w:val="Normal"/>
              <w:snapToGrid w:val="false"/>
              <w:rPr>
                <w:sz w:val="22"/>
              </w:rPr>
            </w:pPr>
            <w:r>
              <w:rPr>
                <w:sz w:val="22"/>
              </w:rPr>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tc>
        <w:tc>
          <w:tcPr>
            <w:tcW w:w="6012" w:type="dxa"/>
            <w:tcBorders/>
          </w:tcPr>
          <w:p>
            <w:pPr>
              <w:pStyle w:val="Normal"/>
              <w:snapToGrid w:val="false"/>
              <w:rPr>
                <w:sz w:val="22"/>
              </w:rPr>
            </w:pPr>
            <w:r>
              <w:rPr>
                <w:sz w:val="22"/>
              </w:rPr>
            </w:r>
          </w:p>
          <w:p>
            <w:pPr>
              <w:pStyle w:val="Normal"/>
              <w:rPr>
                <w:sz w:val="22"/>
                <w:u w:val="single"/>
              </w:rPr>
            </w:pPr>
            <w:r>
              <w:rPr>
                <w:sz w:val="22"/>
              </w:rPr>
              <w:t>By: ____________________________</w:t>
            </w:r>
          </w:p>
        </w:tc>
      </w:tr>
      <w:tr>
        <w:trPr/>
        <w:tc>
          <w:tcPr>
            <w:tcW w:w="4428" w:type="dxa"/>
            <w:tcBorders/>
          </w:tcPr>
          <w:p>
            <w:pPr>
              <w:pStyle w:val="Normal"/>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r>
              <w:rPr>
                <w:sz w:val="22"/>
              </w:rPr>
              <w:fldChar w:fldCharType="begin"/>
            </w:r>
            <w:r>
              <w:rPr>
                <w:sz w:val="22"/>
              </w:rPr>
              <w:instrText xml:space="preserve"> MERGEFIELD DateToday </w:instrText>
            </w:r>
            <w:r>
              <w:rPr>
                <w:sz w:val="22"/>
              </w:rPr>
              <w:fldChar w:fldCharType="separate"/>
            </w:r>
            <w:r>
              <w:rPr>
                <w:sz w:val="22"/>
              </w:rPr>
              <w:t>October 19, 2001</w:t>
            </w:r>
            <w:r>
              <w:rPr>
                <w:sz w:val="22"/>
              </w:rPr>
              <w:fldChar w:fldCharType="end"/>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646-4816</w:t>
      </w:r>
      <w:r>
        <w:rPr>
          <w:sz w:val="22"/>
          <w:b/>
        </w:rPr>
        <w:fldChar w:fldCharType="end"/>
      </w:r>
    </w:p>
    <w:p>
      <w:pPr>
        <w:pStyle w:val="Normal"/>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rPr>
            </w:pPr>
            <w:r>
              <w:rPr>
                <w:sz w:val="22"/>
              </w:rPr>
              <w:t>See invoice for wire instructions</w:t>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77002-7327</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Attention: Director, Documentation Dept</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numPr>
          <w:ilvl w:val="0"/>
          <w:numId w:val="0"/>
        </w:numPr>
        <w:outlineLvl w:val="0"/>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sz w:val="22"/>
        </w:rPr>
      </w:pPr>
      <w:r>
        <w:rPr>
          <w:sz w:val="22"/>
        </w:rPr>
      </w:r>
    </w:p>
    <w:p>
      <w:pPr>
        <w:pStyle w:val="Normal"/>
        <w:rPr>
          <w:b/>
          <w:sz w:val="22"/>
        </w:rPr>
      </w:pPr>
      <w:r>
        <w:rPr>
          <w:b/>
          <w:sz w:val="22"/>
        </w:rPr>
        <w:t>COUNTERPARTY: PLEASE PROVIDE ABOVE REQUESTED INFORMATION IF NOT PROVIDED PREVIOUSLY OR IF CHANGES HAVE OCCURRED</w:t>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t>YB5708.1</w:t>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2001-10-19T20:25:00Z</dcterms:created>
  <dc:creator>ECT</dc:creator>
  <dc:description/>
  <dc:language>en-CA</dc:language>
  <cp:lastModifiedBy>danders2</cp:lastModifiedBy>
  <dcterms:modified xsi:type="dcterms:W3CDTF">2001-10-19T20:25:00Z</dcterms:modified>
  <cp:revision>2</cp:revision>
  <dc:subject>Tri-State Generation and Transmission Association, Inc.</dc:subject>
  <dc:title>YB5708.1</dc:title>
</cp:coreProperties>
</file>