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May 11,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t>Lance Schuler</w:t>
        <w:tab/>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jc w:val="both"/>
        <w:rPr/>
      </w:pPr>
      <w:r>
        <w:rPr>
          <w:b/>
          <w:bCs/>
        </w:rPr>
        <w:t>SUBJECT</w:t>
      </w:r>
      <w:r>
        <w:rPr/>
        <w:t>:</w:t>
        <w:tab/>
        <w:t>Exchange of 2,576,750 shares of Class A Convertible Preferred Membership Interests (the “Shares”) in Treasury Connect LLC (the “Company”) for approximately</w:t>
      </w:r>
      <w:r>
        <w:rPr>
          <w:rStyle w:val="FootnoteCharacters"/>
          <w:rStyle w:val="FootnoteReference"/>
          <w:rFonts w:eastAsia="Symbol" w:cs="Symbol" w:ascii="Symbol" w:hAnsi="Symbol"/>
        </w:rPr>
        <w:footnoteReference w:customMarkFollows="1" w:id="2"/>
        <w:t></w:t>
      </w:r>
      <w:r>
        <w:rPr/>
        <w:t xml:space="preserve"> 59,135 shares of the Class A Common Stock of eSpeed, Inc. (“Common Stock”)</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RISK FACTOR</w:t>
      </w:r>
      <w:r>
        <w:rPr/>
        <w:t>:  4</w:t>
      </w:r>
    </w:p>
    <w:p>
      <w:pPr>
        <w:pStyle w:val="Normal"/>
        <w:jc w:val="both"/>
        <w:rPr/>
      </w:pPr>
      <w:r>
        <w:rPr/>
        <w:tab/>
      </w:r>
    </w:p>
    <w:p>
      <w:pPr>
        <w:pStyle w:val="Normal"/>
        <w:jc w:val="both"/>
        <w:rPr/>
      </w:pPr>
      <w:r>
        <w:rPr/>
        <w:tab/>
        <w:t xml:space="preserve">Houston Economic Opportunity Fund II, L.P. (“HEOF”) has invested $1,658,334 in the Company, $1,633,334 for 2,576,750 of the Shares and $25,000 as a secured loan.  eSpeed, Inc. (“eSpeed”) has offered to purchase all of the outstanding equity of the Company by (i) exchanging shares of the Common Stock valued at $3.85 million for all outstanding common and preferred shares of the Company (the “Exchange”) and (ii) making a cash payment of $150,000 to retire shareholder secured loans.  HEOF will receive (i) approximately 59,135 shares of the Common Stock constituting less than 1/10 of 1% of the outstanding Common Stock and (ii) cash of $25,000.  Although eSpeed is a public company with Common Stock traded on NASDAQ, the Common Stock received in the Exchange will not be registered.  eSpeed and the holders of the Common Stock received in the Exchange will enter into a registration rights agreement.  </w:t>
      </w:r>
    </w:p>
    <w:p>
      <w:pPr>
        <w:pStyle w:val="Normal"/>
        <w:jc w:val="both"/>
        <w:rPr/>
      </w:pPr>
      <w:r>
        <w:rPr/>
      </w:r>
    </w:p>
    <w:p>
      <w:pPr>
        <w:pStyle w:val="Normal"/>
        <w:jc w:val="both"/>
        <w:rPr/>
      </w:pPr>
      <w:r>
        <w:rPr/>
        <w:tab/>
        <w:t xml:space="preserve">In connection with the Exchange, despite HEOF not having control of the Company by virtue of its board seat (seven member board), and because management of the Company (which holds 40% of the equity in the Company) is considered of insufficient credit worthiness, all equity holders of the Company will indemnify eSpeed, on a pro rata basis, in the event that eSpeed suffers any loss as a result of (i) a misrepresentation by the Company or (ii) failure by the Company to comply with the covenants set forth in the purchase agreement during the period from execution of the agreement to the closing of the Exchange, provided that eSpeed shall absorb the first $50,000, current management equity holders of the Company will be responsible for the next $225,000 and nonmanagement equity holders will absorb the next 59% of loss.  Indemnifiable losses are limited in aggregate to $2,710,000 and HEOF’s share thereof will not exceed approximately $697,000.  The indemnification obligation will survive for 12 months following the closing date and may be satisfied by cash payment or by tender of that number of shares of Common Stock equal to the amount of the loss, with such shares valued at the greater of $20 or the price at which the registered Common Stock is trading.  Consequently, HEOF could be required to absorb some portion of any indemnifiable loss.  In the event that HEOF has transferred all or any portion of its shares of Common Stock, it could be required to satisfy the obligation by an out of pocket cash payment.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Gene Humphrey</w:t>
      </w:r>
    </w:p>
    <w:p>
      <w:pPr>
        <w:pStyle w:val="Normal"/>
        <w:jc w:val="both"/>
        <w:rPr/>
      </w:pPr>
      <w:r>
        <w:rPr/>
        <w:tab/>
        <w:t>Barbara Paige</w:t>
      </w:r>
    </w:p>
    <w:p>
      <w:pPr>
        <w:pStyle w:val="Normal"/>
        <w:jc w:val="both"/>
        <w:rPr/>
      </w:pPr>
      <w:r>
        <w:rPr>
          <w:b/>
          <w:bCs/>
        </w:rPr>
        <w:tab/>
      </w:r>
      <w:r>
        <w:rPr/>
        <w:t>Micardo Johns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/mnt/main-storage/datasets/enron-docs/doc/Treasury_Connect_legal_risk_memo2.doc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The term “approximately” is used several places herein when exact figures are not available due to ongoing negotiations.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b w:val="false"/>
      <w:i w:val="false"/>
      <w:sz w:val="24"/>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2001-05-11T12:38:00Z</dcterms:created>
  <dc:creator>ECT</dc:creator>
  <dc:description/>
  <dc:language>en-CA</dc:language>
  <cp:lastModifiedBy>adavis4</cp:lastModifiedBy>
  <cp:lastPrinted>2001-05-11T10:18:00Z</cp:lastPrinted>
  <dcterms:modified xsi:type="dcterms:W3CDTF">2001-05-11T12:49:00Z</dcterms:modified>
  <cp:revision>5</cp:revision>
  <dc:subject/>
  <dc:title> 	</dc:title>
</cp:coreProperties>
</file>